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A9E" w:rsidRPr="00376B9F" w:rsidRDefault="00432A9E" w:rsidP="00D24B18">
      <w:pPr>
        <w:pStyle w:val="NormalWeb"/>
        <w:rPr>
          <w:rFonts w:ascii="Verdana" w:hAnsi="Verdana"/>
          <w:b/>
          <w:bCs/>
        </w:rPr>
      </w:pPr>
      <w:r w:rsidRPr="00376B9F">
        <w:rPr>
          <w:rFonts w:ascii="Verdana" w:hAnsi="Verdana"/>
          <w:b/>
          <w:bCs/>
        </w:rPr>
        <w:t>Find YOUR Representative</w:t>
      </w:r>
      <w:r w:rsidR="00820440" w:rsidRPr="00376B9F">
        <w:rPr>
          <w:rFonts w:ascii="Verdana" w:hAnsi="Verdana"/>
          <w:b/>
          <w:bCs/>
        </w:rPr>
        <w:t>s</w:t>
      </w:r>
    </w:p>
    <w:p w:rsidR="00432A9E" w:rsidRPr="00376B9F" w:rsidRDefault="00000000" w:rsidP="00432A9E">
      <w:pPr>
        <w:pStyle w:val="NormalWeb"/>
        <w:numPr>
          <w:ilvl w:val="0"/>
          <w:numId w:val="9"/>
        </w:numPr>
        <w:spacing w:after="0" w:afterAutospacing="0"/>
        <w:rPr>
          <w:rFonts w:ascii="Verdana" w:hAnsi="Verdana"/>
        </w:rPr>
      </w:pPr>
      <w:hyperlink r:id="rId7" w:history="1">
        <w:r w:rsidR="00432A9E" w:rsidRPr="00376B9F">
          <w:rPr>
            <w:rStyle w:val="Hyperlink"/>
            <w:rFonts w:ascii="Verdana" w:hAnsi="Verdana"/>
          </w:rPr>
          <w:t>https://findyourrep.legislature.ca.gov/</w:t>
        </w:r>
      </w:hyperlink>
    </w:p>
    <w:p w:rsidR="00432A9E" w:rsidRPr="00376B9F" w:rsidRDefault="00432A9E" w:rsidP="00432A9E">
      <w:pPr>
        <w:pStyle w:val="NormalWeb"/>
        <w:numPr>
          <w:ilvl w:val="0"/>
          <w:numId w:val="9"/>
        </w:numPr>
        <w:rPr>
          <w:rFonts w:ascii="Verdana" w:hAnsi="Verdana"/>
        </w:rPr>
      </w:pPr>
      <w:r w:rsidRPr="00376B9F">
        <w:rPr>
          <w:rFonts w:ascii="Verdana" w:hAnsi="Verdana"/>
        </w:rPr>
        <w:t xml:space="preserve">Assembly Committee Chairs: </w:t>
      </w:r>
      <w:hyperlink r:id="rId8" w:history="1">
        <w:r w:rsidRPr="00376B9F">
          <w:rPr>
            <w:rStyle w:val="Hyperlink"/>
            <w:rFonts w:ascii="Verdana" w:hAnsi="Verdana"/>
          </w:rPr>
          <w:t>https://www.assembly.ca.gov/committees</w:t>
        </w:r>
      </w:hyperlink>
    </w:p>
    <w:p w:rsidR="00432A9E" w:rsidRPr="00376B9F" w:rsidRDefault="00432A9E" w:rsidP="00432A9E">
      <w:pPr>
        <w:pStyle w:val="NormalWeb"/>
        <w:numPr>
          <w:ilvl w:val="0"/>
          <w:numId w:val="9"/>
        </w:numPr>
        <w:spacing w:after="0" w:afterAutospacing="0"/>
        <w:rPr>
          <w:rFonts w:ascii="Verdana" w:hAnsi="Verdana"/>
        </w:rPr>
      </w:pPr>
      <w:r w:rsidRPr="00376B9F">
        <w:rPr>
          <w:rFonts w:ascii="Verdana" w:hAnsi="Verdana"/>
        </w:rPr>
        <w:t xml:space="preserve">Senate Committee Chairs and Members: </w:t>
      </w:r>
      <w:hyperlink r:id="rId9" w:history="1">
        <w:r w:rsidRPr="00376B9F">
          <w:rPr>
            <w:rStyle w:val="Hyperlink"/>
            <w:rFonts w:ascii="Verdana" w:hAnsi="Verdana"/>
          </w:rPr>
          <w:t>https://www.senate.ca.gov/committees</w:t>
        </w:r>
      </w:hyperlink>
      <w:r w:rsidRPr="00376B9F">
        <w:rPr>
          <w:rFonts w:ascii="Verdana" w:hAnsi="Verdana"/>
        </w:rPr>
        <w:t xml:space="preserve"> </w:t>
      </w:r>
    </w:p>
    <w:p w:rsidR="00432A9E" w:rsidRPr="00376B9F" w:rsidRDefault="00432A9E" w:rsidP="00432A9E">
      <w:pPr>
        <w:pStyle w:val="NormalWeb"/>
        <w:spacing w:before="0" w:beforeAutospacing="0"/>
        <w:ind w:left="720"/>
        <w:rPr>
          <w:rFonts w:ascii="Verdana" w:hAnsi="Verdana"/>
        </w:rPr>
      </w:pPr>
      <w:r w:rsidRPr="00376B9F">
        <w:rPr>
          <w:rFonts w:ascii="Verdana" w:hAnsi="Verdana"/>
        </w:rPr>
        <w:t xml:space="preserve"> </w:t>
      </w:r>
    </w:p>
    <w:p w:rsidR="00D24B18" w:rsidRPr="00376B9F" w:rsidRDefault="00D24B18" w:rsidP="00D24B18">
      <w:pPr>
        <w:pStyle w:val="NormalWeb"/>
        <w:rPr>
          <w:rFonts w:ascii="Verdana" w:hAnsi="Verdana"/>
          <w:b/>
          <w:bCs/>
        </w:rPr>
      </w:pPr>
      <w:r w:rsidRPr="00376B9F">
        <w:rPr>
          <w:rFonts w:ascii="Verdana" w:hAnsi="Verdana"/>
          <w:b/>
          <w:bCs/>
        </w:rPr>
        <w:t xml:space="preserve">CA State Legislature </w:t>
      </w:r>
    </w:p>
    <w:p w:rsidR="00C177F1" w:rsidRPr="00376B9F" w:rsidRDefault="00C177F1" w:rsidP="00B93AF9">
      <w:pPr>
        <w:pStyle w:val="NormalWeb"/>
        <w:numPr>
          <w:ilvl w:val="0"/>
          <w:numId w:val="18"/>
        </w:numPr>
        <w:rPr>
          <w:rFonts w:ascii="Verdana" w:hAnsi="Verdana"/>
        </w:rPr>
      </w:pPr>
      <w:hyperlink r:id="rId10" w:history="1">
        <w:r w:rsidRPr="00376B9F">
          <w:rPr>
            <w:rStyle w:val="Hyperlink"/>
            <w:rFonts w:ascii="Verdana" w:hAnsi="Verdana"/>
            <w:b/>
            <w:bCs/>
          </w:rPr>
          <w:t>AB 21</w:t>
        </w:r>
      </w:hyperlink>
      <w:r w:rsidRPr="00376B9F">
        <w:rPr>
          <w:rFonts w:ascii="Verdana" w:hAnsi="Verdana"/>
          <w:b/>
          <w:bCs/>
        </w:rPr>
        <w:t xml:space="preserve"> (</w:t>
      </w:r>
      <w:hyperlink r:id="rId11" w:history="1">
        <w:r w:rsidRPr="00376B9F">
          <w:rPr>
            <w:rStyle w:val="Hyperlink"/>
            <w:rFonts w:ascii="Verdana" w:hAnsi="Verdana"/>
            <w:b/>
            <w:bCs/>
          </w:rPr>
          <w:t>Gipson</w:t>
        </w:r>
      </w:hyperlink>
      <w:r w:rsidRPr="00376B9F">
        <w:rPr>
          <w:rFonts w:ascii="Verdana" w:hAnsi="Verdana"/>
          <w:b/>
          <w:bCs/>
        </w:rPr>
        <w:t xml:space="preserve"> </w:t>
      </w:r>
      <w:proofErr w:type="gramStart"/>
      <w:r w:rsidRPr="00376B9F">
        <w:rPr>
          <w:rFonts w:ascii="Verdana" w:hAnsi="Verdana"/>
          <w:b/>
          <w:bCs/>
        </w:rPr>
        <w:t>D )</w:t>
      </w:r>
      <w:proofErr w:type="gramEnd"/>
      <w:r w:rsidRPr="00376B9F">
        <w:rPr>
          <w:rFonts w:ascii="Verdana" w:hAnsi="Verdana"/>
          <w:b/>
          <w:bCs/>
        </w:rPr>
        <w:t xml:space="preserve"> Peace officers: training</w:t>
      </w:r>
      <w:r w:rsidR="00B93AF9" w:rsidRPr="00376B9F">
        <w:rPr>
          <w:rFonts w:ascii="Verdana" w:hAnsi="Verdana"/>
          <w:b/>
          <w:bCs/>
        </w:rPr>
        <w:t xml:space="preserve"> </w:t>
      </w:r>
      <w:r w:rsidR="00B93AF9" w:rsidRPr="00376B9F">
        <w:rPr>
          <w:rFonts w:ascii="Verdana" w:hAnsi="Verdana"/>
        </w:rPr>
        <w:t>1/26/2023-Referred to Com. on PUB. S</w:t>
      </w:r>
    </w:p>
    <w:p w:rsidR="00376B9F" w:rsidRDefault="00C177F1" w:rsidP="00376B9F">
      <w:pPr>
        <w:pStyle w:val="NormalWeb"/>
        <w:ind w:left="720"/>
        <w:rPr>
          <w:rFonts w:ascii="Verdana" w:hAnsi="Verdana"/>
        </w:rPr>
      </w:pPr>
      <w:r w:rsidRPr="00376B9F">
        <w:rPr>
          <w:rFonts w:ascii="Verdana" w:hAnsi="Verdana"/>
        </w:rPr>
        <w:t xml:space="preserve">Current law requires specified categories of law enforcement officers to meet training standards pursuant to courses of training certified by the Commission on Peace Officer Standards and Training (POST). Current law requires POST to require field training officers who are instructors for the field training program to have at least 8 hours of crisis intervention behavioral health training to better train new peace officers on how to effectively interact with persons with mental illness or intellectual disability. This bill would require the commission to revise that training to include instruction on how to effectively interact with persons with Alzheimer’s disease or dementia. </w:t>
      </w:r>
    </w:p>
    <w:p w:rsidR="00C177F1" w:rsidRPr="00376B9F" w:rsidRDefault="00C177F1" w:rsidP="00376B9F">
      <w:pPr>
        <w:pStyle w:val="NormalWeb"/>
        <w:numPr>
          <w:ilvl w:val="0"/>
          <w:numId w:val="18"/>
        </w:numPr>
        <w:rPr>
          <w:rFonts w:ascii="Verdana" w:hAnsi="Verdana"/>
        </w:rPr>
      </w:pPr>
      <w:hyperlink r:id="rId12" w:history="1">
        <w:r w:rsidRPr="00376B9F">
          <w:rPr>
            <w:rStyle w:val="Hyperlink"/>
            <w:rFonts w:ascii="Verdana" w:hAnsi="Verdana"/>
            <w:b/>
            <w:bCs/>
          </w:rPr>
          <w:t>AB 5</w:t>
        </w:r>
      </w:hyperlink>
      <w:r w:rsidRPr="00376B9F">
        <w:rPr>
          <w:rFonts w:ascii="Verdana" w:hAnsi="Verdana"/>
          <w:b/>
          <w:bCs/>
        </w:rPr>
        <w:t xml:space="preserve"> (</w:t>
      </w:r>
      <w:proofErr w:type="spellStart"/>
      <w:r w:rsidRPr="00376B9F">
        <w:rPr>
          <w:rFonts w:ascii="Verdana" w:hAnsi="Verdana"/>
          <w:b/>
          <w:bCs/>
        </w:rPr>
        <w:fldChar w:fldCharType="begin"/>
      </w:r>
      <w:r w:rsidRPr="00376B9F">
        <w:rPr>
          <w:rFonts w:ascii="Verdana" w:hAnsi="Verdana"/>
          <w:b/>
          <w:bCs/>
        </w:rPr>
        <w:instrText xml:space="preserve"> HYPERLINK "https://ct35.capitoltrack.com/23/Member/Index/468" </w:instrText>
      </w:r>
      <w:r w:rsidRPr="00376B9F">
        <w:rPr>
          <w:rFonts w:ascii="Verdana" w:hAnsi="Verdana"/>
          <w:b/>
          <w:bCs/>
        </w:rPr>
        <w:fldChar w:fldCharType="separate"/>
      </w:r>
      <w:r w:rsidRPr="00376B9F">
        <w:rPr>
          <w:rStyle w:val="Hyperlink"/>
          <w:rFonts w:ascii="Verdana" w:hAnsi="Verdana"/>
          <w:b/>
          <w:bCs/>
        </w:rPr>
        <w:t>Zbur</w:t>
      </w:r>
      <w:proofErr w:type="spellEnd"/>
      <w:r w:rsidRPr="00376B9F">
        <w:rPr>
          <w:rFonts w:ascii="Verdana" w:hAnsi="Verdana"/>
          <w:b/>
          <w:bCs/>
        </w:rPr>
        <w:fldChar w:fldCharType="end"/>
      </w:r>
      <w:r w:rsidRPr="00376B9F">
        <w:rPr>
          <w:rFonts w:ascii="Verdana" w:hAnsi="Verdana"/>
          <w:b/>
          <w:bCs/>
        </w:rPr>
        <w:t xml:space="preserve"> </w:t>
      </w:r>
      <w:proofErr w:type="gramStart"/>
      <w:r w:rsidRPr="00376B9F">
        <w:rPr>
          <w:rFonts w:ascii="Verdana" w:hAnsi="Verdana"/>
          <w:b/>
          <w:bCs/>
        </w:rPr>
        <w:t>D )</w:t>
      </w:r>
      <w:proofErr w:type="gramEnd"/>
      <w:r w:rsidRPr="00376B9F">
        <w:rPr>
          <w:rFonts w:ascii="Verdana" w:hAnsi="Verdana"/>
          <w:b/>
          <w:bCs/>
        </w:rPr>
        <w:t xml:space="preserve"> The Safe and Supportive Schools Program</w:t>
      </w:r>
      <w:r w:rsidR="00B93AF9" w:rsidRPr="00376B9F">
        <w:rPr>
          <w:rFonts w:ascii="Verdana" w:hAnsi="Verdana"/>
        </w:rPr>
        <w:t xml:space="preserve"> </w:t>
      </w:r>
      <w:r w:rsidR="00B93AF9" w:rsidRPr="00376B9F">
        <w:rPr>
          <w:rFonts w:ascii="Verdana" w:hAnsi="Verdana"/>
        </w:rPr>
        <w:t>12/6/2022-From printer. May be heard in committee January 5.</w:t>
      </w:r>
    </w:p>
    <w:p w:rsidR="00B9393E" w:rsidRPr="00376B9F" w:rsidRDefault="00C177F1" w:rsidP="00C177F1">
      <w:pPr>
        <w:pStyle w:val="NormalWeb"/>
        <w:ind w:left="720"/>
        <w:rPr>
          <w:rFonts w:ascii="Verdana" w:hAnsi="Verdana"/>
        </w:rPr>
      </w:pPr>
      <w:r w:rsidRPr="00376B9F">
        <w:rPr>
          <w:rFonts w:ascii="Verdana" w:hAnsi="Verdana"/>
        </w:rPr>
        <w:t>Existing law in California provides all people in public schools with equal rights and opportunities, regardless of their disability, gender, nationality, etc. This bill states the intent of the Legislature to make sure teachers and certificated employees in schools operated by a school district or county office of education or charter schools have the skills and training to better assist LGBTQ+ pupils and make schools safe for everyone. It will create a timeline for implementation of cultural competency training programs developed by the State Department of Education.</w:t>
      </w:r>
    </w:p>
    <w:p w:rsidR="00C177F1" w:rsidRPr="00376B9F" w:rsidRDefault="00C177F1" w:rsidP="00C177F1">
      <w:pPr>
        <w:pStyle w:val="ListParagraph"/>
        <w:numPr>
          <w:ilvl w:val="0"/>
          <w:numId w:val="18"/>
        </w:numPr>
        <w:rPr>
          <w:rFonts w:ascii="Verdana" w:hAnsi="Verdana"/>
          <w:sz w:val="24"/>
          <w:szCs w:val="24"/>
        </w:rPr>
      </w:pPr>
      <w:hyperlink r:id="rId13" w:history="1">
        <w:r w:rsidRPr="00376B9F">
          <w:rPr>
            <w:rStyle w:val="Hyperlink"/>
            <w:rFonts w:ascii="Verdana" w:hAnsi="Verdana"/>
            <w:b/>
            <w:bCs/>
            <w:sz w:val="24"/>
            <w:szCs w:val="24"/>
          </w:rPr>
          <w:t>AB 48</w:t>
        </w:r>
      </w:hyperlink>
      <w:r w:rsidRPr="00376B9F">
        <w:rPr>
          <w:rFonts w:ascii="Verdana" w:hAnsi="Verdana"/>
          <w:b/>
          <w:bCs/>
          <w:sz w:val="24"/>
          <w:szCs w:val="24"/>
        </w:rPr>
        <w:t xml:space="preserve"> (</w:t>
      </w:r>
      <w:hyperlink r:id="rId14" w:history="1">
        <w:r w:rsidRPr="00376B9F">
          <w:rPr>
            <w:rStyle w:val="Hyperlink"/>
            <w:rFonts w:ascii="Verdana" w:hAnsi="Verdana"/>
            <w:b/>
            <w:bCs/>
            <w:sz w:val="24"/>
            <w:szCs w:val="24"/>
          </w:rPr>
          <w:t>Aguiar-Curry</w:t>
        </w:r>
      </w:hyperlink>
      <w:r w:rsidRPr="00376B9F">
        <w:rPr>
          <w:rFonts w:ascii="Verdana" w:hAnsi="Verdana"/>
          <w:b/>
          <w:bCs/>
          <w:sz w:val="24"/>
          <w:szCs w:val="24"/>
        </w:rPr>
        <w:t xml:space="preserve"> D ) Nursing Facility Resident Informed Consent Protection Act of 2023. </w:t>
      </w:r>
      <w:r w:rsidRPr="00376B9F">
        <w:rPr>
          <w:rFonts w:ascii="Verdana" w:hAnsi="Verdana"/>
          <w:sz w:val="24"/>
          <w:szCs w:val="24"/>
        </w:rPr>
        <w:t xml:space="preserve">1/26/2023-Referred to Coms. on HEALTH and JUD. </w:t>
      </w:r>
    </w:p>
    <w:p w:rsidR="00B93AF9" w:rsidRPr="00376B9F" w:rsidRDefault="00C177F1" w:rsidP="00376B9F">
      <w:pPr>
        <w:ind w:left="720"/>
        <w:rPr>
          <w:rFonts w:ascii="Verdana" w:hAnsi="Verdana"/>
          <w:sz w:val="24"/>
          <w:szCs w:val="24"/>
        </w:rPr>
      </w:pPr>
      <w:r w:rsidRPr="00376B9F">
        <w:rPr>
          <w:rFonts w:ascii="Verdana" w:hAnsi="Verdana"/>
          <w:sz w:val="24"/>
          <w:szCs w:val="24"/>
        </w:rPr>
        <w:t xml:space="preserve">Current law provides for the licensure and regulation of health facilities, including skilled nursing facilities and intermediate care </w:t>
      </w:r>
      <w:r w:rsidRPr="00376B9F">
        <w:rPr>
          <w:rFonts w:ascii="Verdana" w:hAnsi="Verdana"/>
          <w:sz w:val="24"/>
          <w:szCs w:val="24"/>
        </w:rPr>
        <w:lastRenderedPageBreak/>
        <w:t xml:space="preserve">facilities, by the State Department of Public Health. Current law requires skilled nursing facilities and intermediate care facilities to have written policies regarding the rights of patients. This bill would add to these rights the right of every resident to receive the information that is material to an individual’s informed consent decision concerning whether to accept or refuse the administration of psychotherapeutic drugs, as specified. This bill would also add the right to be free from psychotherapeutic drugs used for the purpose of resident discipline, convenience, or chemical restraint, except in an emergency that threatens to cause immediate injury to the resident or others. </w:t>
      </w:r>
    </w:p>
    <w:p w:rsidR="00B93AF9" w:rsidRPr="00376B9F" w:rsidRDefault="00B93AF9" w:rsidP="00B93AF9">
      <w:pPr>
        <w:pStyle w:val="ListParagraph"/>
        <w:numPr>
          <w:ilvl w:val="0"/>
          <w:numId w:val="18"/>
        </w:numPr>
        <w:rPr>
          <w:rFonts w:ascii="Verdana" w:hAnsi="Verdana"/>
          <w:sz w:val="24"/>
          <w:szCs w:val="24"/>
        </w:rPr>
      </w:pPr>
      <w:hyperlink r:id="rId15" w:history="1">
        <w:r w:rsidRPr="00376B9F">
          <w:rPr>
            <w:rStyle w:val="Hyperlink"/>
            <w:rFonts w:ascii="Verdana" w:hAnsi="Verdana"/>
            <w:b/>
            <w:bCs/>
            <w:sz w:val="24"/>
            <w:szCs w:val="24"/>
          </w:rPr>
          <w:t>AB 222</w:t>
        </w:r>
      </w:hyperlink>
      <w:r w:rsidRPr="00376B9F">
        <w:rPr>
          <w:rFonts w:ascii="Verdana" w:hAnsi="Verdana"/>
          <w:b/>
          <w:bCs/>
          <w:sz w:val="24"/>
          <w:szCs w:val="24"/>
        </w:rPr>
        <w:t xml:space="preserve"> (</w:t>
      </w:r>
      <w:proofErr w:type="spellStart"/>
      <w:r w:rsidRPr="00376B9F">
        <w:rPr>
          <w:rFonts w:ascii="Verdana" w:hAnsi="Verdana"/>
          <w:b/>
          <w:bCs/>
          <w:sz w:val="24"/>
          <w:szCs w:val="24"/>
        </w:rPr>
        <w:fldChar w:fldCharType="begin"/>
      </w:r>
      <w:r w:rsidRPr="00376B9F">
        <w:rPr>
          <w:rFonts w:ascii="Verdana" w:hAnsi="Verdana"/>
          <w:b/>
          <w:bCs/>
          <w:sz w:val="24"/>
          <w:szCs w:val="24"/>
        </w:rPr>
        <w:instrText xml:space="preserve"> HYPERLINK "https://ct35.capitoltrack.com/23/Member/Index/464" </w:instrText>
      </w:r>
      <w:r w:rsidRPr="00376B9F">
        <w:rPr>
          <w:rFonts w:ascii="Verdana" w:hAnsi="Verdana"/>
          <w:b/>
          <w:bCs/>
          <w:sz w:val="24"/>
          <w:szCs w:val="24"/>
        </w:rPr>
        <w:fldChar w:fldCharType="separate"/>
      </w:r>
      <w:r w:rsidRPr="00376B9F">
        <w:rPr>
          <w:rStyle w:val="Hyperlink"/>
          <w:rFonts w:ascii="Verdana" w:hAnsi="Verdana"/>
          <w:b/>
          <w:bCs/>
          <w:sz w:val="24"/>
          <w:szCs w:val="24"/>
        </w:rPr>
        <w:t>Arambula</w:t>
      </w:r>
      <w:proofErr w:type="spellEnd"/>
      <w:r w:rsidRPr="00376B9F">
        <w:rPr>
          <w:rFonts w:ascii="Verdana" w:hAnsi="Verdana"/>
          <w:b/>
          <w:bCs/>
          <w:sz w:val="24"/>
          <w:szCs w:val="24"/>
        </w:rPr>
        <w:fldChar w:fldCharType="end"/>
      </w:r>
      <w:r w:rsidRPr="00376B9F">
        <w:rPr>
          <w:rFonts w:ascii="Verdana" w:hAnsi="Verdana"/>
          <w:b/>
          <w:bCs/>
          <w:sz w:val="24"/>
          <w:szCs w:val="24"/>
        </w:rPr>
        <w:t xml:space="preserve"> D ) Civil Rights Department: Californians with disabilities workgroup. </w:t>
      </w:r>
      <w:r w:rsidRPr="00376B9F">
        <w:rPr>
          <w:rFonts w:ascii="Verdana" w:hAnsi="Verdana"/>
          <w:sz w:val="24"/>
          <w:szCs w:val="24"/>
        </w:rPr>
        <w:t xml:space="preserve"> 2/2/2023-Referred to Com. on JUD. </w:t>
      </w:r>
    </w:p>
    <w:p w:rsidR="00B93AF9" w:rsidRPr="00376B9F" w:rsidRDefault="00B93AF9" w:rsidP="00B93AF9">
      <w:pPr>
        <w:ind w:left="720"/>
        <w:rPr>
          <w:rFonts w:ascii="Verdana" w:hAnsi="Verdana"/>
          <w:sz w:val="24"/>
          <w:szCs w:val="24"/>
        </w:rPr>
      </w:pPr>
      <w:r w:rsidRPr="00376B9F">
        <w:rPr>
          <w:rFonts w:ascii="Verdana" w:hAnsi="Verdana"/>
          <w:sz w:val="24"/>
          <w:szCs w:val="24"/>
        </w:rPr>
        <w:t xml:space="preserve">The California Fair Employment and Housing Act establishes the Civil Rights Department within the Business, Consumer Services, and Housing Agency under the direction of the Director of Civil Rights. Current law sets forth the powers and duties of the department, which include receiving, investigating, conciliating, mediating, and prosecuting complaints alleging unlawful practices or violations of specified civil rights provisions, including those based on a mental or physical disability, as defined. This bill would require the department to convene a workgroup to make recommendations to the Legislature for the development of accessibility and antidiscrimination laws for people with disabilities, as defined. The bill would require membership of the workgroup to include interested parties and stakeholders that reflect the diversity of the state, including, among other groups, individuals who have personal experience with a disability. </w:t>
      </w:r>
    </w:p>
    <w:p w:rsidR="00380A0F" w:rsidRPr="00376B9F" w:rsidRDefault="00380A0F" w:rsidP="00380A0F">
      <w:pPr>
        <w:pStyle w:val="ListParagraph"/>
        <w:numPr>
          <w:ilvl w:val="0"/>
          <w:numId w:val="18"/>
        </w:numPr>
        <w:rPr>
          <w:rFonts w:ascii="Verdana" w:hAnsi="Verdana"/>
          <w:sz w:val="24"/>
          <w:szCs w:val="24"/>
        </w:rPr>
      </w:pPr>
      <w:hyperlink r:id="rId16" w:history="1">
        <w:r w:rsidRPr="00376B9F">
          <w:rPr>
            <w:rStyle w:val="Hyperlink"/>
            <w:rFonts w:ascii="Verdana" w:hAnsi="Verdana"/>
            <w:b/>
            <w:bCs/>
            <w:sz w:val="24"/>
            <w:szCs w:val="24"/>
          </w:rPr>
          <w:t>AB 248</w:t>
        </w:r>
      </w:hyperlink>
      <w:r w:rsidRPr="00376B9F">
        <w:rPr>
          <w:rFonts w:ascii="Verdana" w:hAnsi="Verdana"/>
          <w:b/>
          <w:bCs/>
          <w:sz w:val="24"/>
          <w:szCs w:val="24"/>
        </w:rPr>
        <w:t xml:space="preserve"> (</w:t>
      </w:r>
      <w:hyperlink r:id="rId17" w:history="1">
        <w:r w:rsidRPr="00376B9F">
          <w:rPr>
            <w:rStyle w:val="Hyperlink"/>
            <w:rFonts w:ascii="Verdana" w:hAnsi="Verdana"/>
            <w:b/>
            <w:bCs/>
            <w:sz w:val="24"/>
            <w:szCs w:val="24"/>
          </w:rPr>
          <w:t>Mathis</w:t>
        </w:r>
      </w:hyperlink>
      <w:r w:rsidRPr="00376B9F">
        <w:rPr>
          <w:rFonts w:ascii="Verdana" w:hAnsi="Verdana"/>
          <w:b/>
          <w:bCs/>
          <w:sz w:val="24"/>
          <w:szCs w:val="24"/>
        </w:rPr>
        <w:t xml:space="preserve"> R ) Individuals with intellectual or developmental disabilities. </w:t>
      </w:r>
    </w:p>
    <w:p w:rsidR="00380A0F" w:rsidRPr="00376B9F" w:rsidRDefault="00380A0F" w:rsidP="00380A0F">
      <w:pPr>
        <w:pStyle w:val="ListParagraph"/>
        <w:rPr>
          <w:rFonts w:ascii="Verdana" w:hAnsi="Verdana"/>
          <w:sz w:val="24"/>
          <w:szCs w:val="24"/>
        </w:rPr>
      </w:pPr>
      <w:r w:rsidRPr="00376B9F">
        <w:rPr>
          <w:rFonts w:ascii="Verdana" w:hAnsi="Verdana"/>
          <w:sz w:val="24"/>
          <w:szCs w:val="24"/>
        </w:rPr>
        <w:t xml:space="preserve"> 2/2/2023-Referred to Com. on HUM. S. </w:t>
      </w:r>
    </w:p>
    <w:p w:rsidR="00380A0F" w:rsidRPr="00376B9F" w:rsidRDefault="00380A0F" w:rsidP="00380A0F">
      <w:pPr>
        <w:pStyle w:val="ListParagraph"/>
        <w:rPr>
          <w:rFonts w:ascii="Verdana" w:hAnsi="Verdana"/>
          <w:sz w:val="24"/>
          <w:szCs w:val="24"/>
        </w:rPr>
      </w:pPr>
    </w:p>
    <w:p w:rsidR="00B93AF9" w:rsidRPr="00376B9F" w:rsidRDefault="00380A0F" w:rsidP="00380A0F">
      <w:pPr>
        <w:pStyle w:val="ListParagraph"/>
        <w:rPr>
          <w:rFonts w:ascii="Verdana" w:hAnsi="Verdana"/>
          <w:sz w:val="24"/>
          <w:szCs w:val="24"/>
        </w:rPr>
      </w:pPr>
      <w:r w:rsidRPr="00376B9F">
        <w:rPr>
          <w:rFonts w:ascii="Verdana" w:hAnsi="Verdana"/>
          <w:sz w:val="24"/>
          <w:szCs w:val="24"/>
        </w:rPr>
        <w:t xml:space="preserve">Current law includes the terms “mentally retarded persons,” “mentally retarded children,” and “retardation.” This bill would make </w:t>
      </w:r>
      <w:proofErr w:type="spellStart"/>
      <w:r w:rsidRPr="00376B9F">
        <w:rPr>
          <w:rFonts w:ascii="Verdana" w:hAnsi="Verdana"/>
          <w:sz w:val="24"/>
          <w:szCs w:val="24"/>
        </w:rPr>
        <w:t>nonsubstantive</w:t>
      </w:r>
      <w:proofErr w:type="spellEnd"/>
      <w:r w:rsidRPr="00376B9F">
        <w:rPr>
          <w:rFonts w:ascii="Verdana" w:hAnsi="Verdana"/>
          <w:sz w:val="24"/>
          <w:szCs w:val="24"/>
        </w:rPr>
        <w:t xml:space="preserve"> changes to those provisions to eliminate this obsolete terminology. The bill would repeal obsolete provisions of law.</w:t>
      </w:r>
    </w:p>
    <w:p w:rsidR="00380A0F" w:rsidRPr="00376B9F" w:rsidRDefault="00380A0F" w:rsidP="00380A0F">
      <w:pPr>
        <w:pStyle w:val="ListParagraph"/>
        <w:rPr>
          <w:rFonts w:ascii="Verdana" w:hAnsi="Verdana"/>
          <w:sz w:val="24"/>
          <w:szCs w:val="24"/>
        </w:rPr>
      </w:pPr>
    </w:p>
    <w:p w:rsidR="00D33020" w:rsidRPr="00376B9F" w:rsidRDefault="00D33020" w:rsidP="00D33020">
      <w:pPr>
        <w:pStyle w:val="ListParagraph"/>
        <w:numPr>
          <w:ilvl w:val="0"/>
          <w:numId w:val="18"/>
        </w:numPr>
        <w:rPr>
          <w:rFonts w:ascii="Verdana" w:hAnsi="Verdana"/>
          <w:sz w:val="24"/>
          <w:szCs w:val="24"/>
        </w:rPr>
      </w:pPr>
      <w:hyperlink r:id="rId18" w:history="1">
        <w:r w:rsidRPr="00376B9F">
          <w:rPr>
            <w:rStyle w:val="Hyperlink"/>
            <w:rFonts w:ascii="Verdana" w:hAnsi="Verdana"/>
            <w:b/>
            <w:bCs/>
            <w:sz w:val="24"/>
            <w:szCs w:val="24"/>
          </w:rPr>
          <w:t>AB 339</w:t>
        </w:r>
      </w:hyperlink>
      <w:r w:rsidRPr="00376B9F">
        <w:rPr>
          <w:rFonts w:ascii="Verdana" w:hAnsi="Verdana"/>
          <w:b/>
          <w:bCs/>
          <w:sz w:val="24"/>
          <w:szCs w:val="24"/>
        </w:rPr>
        <w:t xml:space="preserve"> (</w:t>
      </w:r>
      <w:hyperlink r:id="rId19" w:history="1">
        <w:r w:rsidRPr="00376B9F">
          <w:rPr>
            <w:rStyle w:val="Hyperlink"/>
            <w:rFonts w:ascii="Verdana" w:hAnsi="Verdana"/>
            <w:b/>
            <w:bCs/>
            <w:sz w:val="24"/>
            <w:szCs w:val="24"/>
          </w:rPr>
          <w:t>Irwin</w:t>
        </w:r>
      </w:hyperlink>
      <w:r w:rsidRPr="00376B9F">
        <w:rPr>
          <w:rFonts w:ascii="Verdana" w:hAnsi="Verdana"/>
          <w:b/>
          <w:bCs/>
          <w:sz w:val="24"/>
          <w:szCs w:val="24"/>
        </w:rPr>
        <w:t xml:space="preserve"> D ) Qualified ABLE Program. </w:t>
      </w:r>
      <w:r w:rsidRPr="00376B9F">
        <w:rPr>
          <w:rFonts w:ascii="Verdana" w:hAnsi="Verdana"/>
          <w:sz w:val="24"/>
          <w:szCs w:val="24"/>
        </w:rPr>
        <w:t xml:space="preserve"> </w:t>
      </w:r>
      <w:r w:rsidRPr="00376B9F">
        <w:rPr>
          <w:rFonts w:ascii="Verdana" w:hAnsi="Verdana"/>
          <w:sz w:val="24"/>
          <w:szCs w:val="24"/>
        </w:rPr>
        <w:t xml:space="preserve">1/31/2023-From printer. May be heard in committee March 2. </w:t>
      </w:r>
    </w:p>
    <w:p w:rsidR="00D33020" w:rsidRPr="00376B9F" w:rsidRDefault="00D33020" w:rsidP="00D33020">
      <w:pPr>
        <w:pStyle w:val="ListParagraph"/>
        <w:rPr>
          <w:rFonts w:ascii="Verdana" w:hAnsi="Verdana"/>
          <w:sz w:val="24"/>
          <w:szCs w:val="24"/>
        </w:rPr>
      </w:pPr>
    </w:p>
    <w:p w:rsidR="00380A0F" w:rsidRPr="00376B9F" w:rsidRDefault="00D33020" w:rsidP="00D33020">
      <w:pPr>
        <w:pStyle w:val="ListParagraph"/>
        <w:rPr>
          <w:rFonts w:ascii="Verdana" w:hAnsi="Verdana"/>
          <w:sz w:val="24"/>
          <w:szCs w:val="24"/>
        </w:rPr>
      </w:pPr>
      <w:r w:rsidRPr="00376B9F">
        <w:rPr>
          <w:rFonts w:ascii="Verdana" w:hAnsi="Verdana"/>
          <w:sz w:val="24"/>
          <w:szCs w:val="24"/>
        </w:rPr>
        <w:lastRenderedPageBreak/>
        <w:t>Under the ABLE Act, an eligible individual for a taxable year is an individual entitled to specified benefits based on blindness or disability or for whom there is a disability certification filed with the Secretary of the Treasury, and such blindness or disability occurred before the date on which the individual attained 26 years of age, or, on and after January 1, 2026, 46 years of age. Current law establishes the Qualified ABLE Program, administered by the California ABLE Act Board, in this state for purposes of implementing the federal ABLE Act, and provides the same definition for “eligible individual.” This bill would, commencing January 1, 2026, revise the definition of “eligible individual” under the Qualified ABLE Program by increasing the age limit for when an eligible individual’s blindness or disability occurred to 46 years of age to conform with federal ABLE Act.</w:t>
      </w:r>
    </w:p>
    <w:p w:rsidR="00D33020" w:rsidRPr="00376B9F" w:rsidRDefault="00D33020" w:rsidP="00D33020">
      <w:pPr>
        <w:pStyle w:val="ListParagraph"/>
        <w:rPr>
          <w:rFonts w:ascii="Verdana" w:hAnsi="Verdana"/>
          <w:sz w:val="24"/>
          <w:szCs w:val="24"/>
        </w:rPr>
      </w:pPr>
    </w:p>
    <w:p w:rsidR="004363F8" w:rsidRPr="00376B9F" w:rsidRDefault="004363F8" w:rsidP="004363F8">
      <w:pPr>
        <w:pStyle w:val="ListParagraph"/>
        <w:numPr>
          <w:ilvl w:val="0"/>
          <w:numId w:val="18"/>
        </w:numPr>
        <w:rPr>
          <w:rFonts w:ascii="Verdana" w:hAnsi="Verdana"/>
          <w:sz w:val="24"/>
          <w:szCs w:val="24"/>
        </w:rPr>
      </w:pPr>
      <w:hyperlink r:id="rId20" w:history="1">
        <w:r w:rsidRPr="00376B9F">
          <w:rPr>
            <w:rStyle w:val="Hyperlink"/>
            <w:rFonts w:ascii="Verdana" w:hAnsi="Verdana"/>
            <w:b/>
            <w:bCs/>
            <w:sz w:val="24"/>
            <w:szCs w:val="24"/>
          </w:rPr>
          <w:t>AB 385</w:t>
        </w:r>
      </w:hyperlink>
      <w:r w:rsidRPr="00376B9F">
        <w:rPr>
          <w:rFonts w:ascii="Verdana" w:hAnsi="Verdana"/>
          <w:b/>
          <w:bCs/>
          <w:sz w:val="24"/>
          <w:szCs w:val="24"/>
        </w:rPr>
        <w:t xml:space="preserve"> (</w:t>
      </w:r>
      <w:hyperlink r:id="rId21" w:history="1">
        <w:r w:rsidRPr="00376B9F">
          <w:rPr>
            <w:rStyle w:val="Hyperlink"/>
            <w:rFonts w:ascii="Verdana" w:hAnsi="Verdana"/>
            <w:b/>
            <w:bCs/>
            <w:sz w:val="24"/>
            <w:szCs w:val="24"/>
          </w:rPr>
          <w:t>Ta</w:t>
        </w:r>
      </w:hyperlink>
      <w:r w:rsidRPr="00376B9F">
        <w:rPr>
          <w:rFonts w:ascii="Verdana" w:hAnsi="Verdana"/>
          <w:b/>
          <w:bCs/>
          <w:sz w:val="24"/>
          <w:szCs w:val="24"/>
        </w:rPr>
        <w:t xml:space="preserve"> R ) Alzheimer’s disease: public awareness campaign. </w:t>
      </w:r>
      <w:r w:rsidRPr="00376B9F">
        <w:rPr>
          <w:rFonts w:ascii="Verdana" w:hAnsi="Verdana"/>
          <w:sz w:val="24"/>
          <w:szCs w:val="24"/>
        </w:rPr>
        <w:t>2/3/2023-From printer. May be heard in committee March 5</w:t>
      </w:r>
    </w:p>
    <w:p w:rsidR="004363F8" w:rsidRPr="00376B9F" w:rsidRDefault="004363F8" w:rsidP="004363F8">
      <w:pPr>
        <w:pStyle w:val="ListParagraph"/>
        <w:rPr>
          <w:rFonts w:ascii="Verdana" w:hAnsi="Verdana"/>
          <w:sz w:val="24"/>
          <w:szCs w:val="24"/>
        </w:rPr>
      </w:pPr>
    </w:p>
    <w:p w:rsidR="00D33020" w:rsidRPr="00376B9F" w:rsidRDefault="004363F8" w:rsidP="00D33020">
      <w:pPr>
        <w:pStyle w:val="ListParagraph"/>
        <w:rPr>
          <w:rFonts w:ascii="Verdana" w:hAnsi="Verdana"/>
          <w:sz w:val="24"/>
          <w:szCs w:val="24"/>
        </w:rPr>
      </w:pPr>
      <w:r w:rsidRPr="00376B9F">
        <w:rPr>
          <w:rFonts w:ascii="Verdana" w:hAnsi="Verdana"/>
          <w:sz w:val="24"/>
          <w:szCs w:val="24"/>
        </w:rPr>
        <w:t>Current law requires the State Department of Public Health to provide, or contract for the provision of, public and professional education on Alzheimer’s disease for consumers, caregivers, and health care providers. This bill would require the department to implement a public awareness campaign, as specified, and include education for unpaid caregivers.</w:t>
      </w:r>
    </w:p>
    <w:p w:rsidR="004363F8" w:rsidRPr="00376B9F" w:rsidRDefault="004363F8" w:rsidP="00D33020">
      <w:pPr>
        <w:pStyle w:val="ListParagraph"/>
        <w:rPr>
          <w:rFonts w:ascii="Verdana" w:hAnsi="Verdana"/>
          <w:sz w:val="24"/>
          <w:szCs w:val="24"/>
        </w:rPr>
      </w:pPr>
    </w:p>
    <w:p w:rsidR="004363F8" w:rsidRPr="00376B9F" w:rsidRDefault="004363F8" w:rsidP="004363F8">
      <w:pPr>
        <w:pStyle w:val="ListParagraph"/>
        <w:numPr>
          <w:ilvl w:val="0"/>
          <w:numId w:val="18"/>
        </w:numPr>
        <w:rPr>
          <w:rFonts w:ascii="Verdana" w:hAnsi="Verdana"/>
          <w:sz w:val="24"/>
          <w:szCs w:val="24"/>
        </w:rPr>
      </w:pPr>
      <w:hyperlink r:id="rId22" w:history="1">
        <w:r w:rsidRPr="00376B9F">
          <w:rPr>
            <w:rStyle w:val="Hyperlink"/>
            <w:rFonts w:ascii="Verdana" w:hAnsi="Verdana"/>
            <w:b/>
            <w:bCs/>
            <w:sz w:val="24"/>
            <w:szCs w:val="24"/>
          </w:rPr>
          <w:t>AB 447</w:t>
        </w:r>
      </w:hyperlink>
      <w:r w:rsidRPr="00376B9F">
        <w:rPr>
          <w:rFonts w:ascii="Verdana" w:hAnsi="Verdana"/>
          <w:b/>
          <w:bCs/>
          <w:sz w:val="24"/>
          <w:szCs w:val="24"/>
        </w:rPr>
        <w:t xml:space="preserve"> (</w:t>
      </w:r>
      <w:proofErr w:type="spellStart"/>
      <w:r w:rsidRPr="00376B9F">
        <w:rPr>
          <w:rFonts w:ascii="Verdana" w:hAnsi="Verdana"/>
          <w:b/>
          <w:bCs/>
          <w:sz w:val="24"/>
          <w:szCs w:val="24"/>
        </w:rPr>
        <w:fldChar w:fldCharType="begin"/>
      </w:r>
      <w:r w:rsidRPr="00376B9F">
        <w:rPr>
          <w:rFonts w:ascii="Verdana" w:hAnsi="Verdana"/>
          <w:b/>
          <w:bCs/>
          <w:sz w:val="24"/>
          <w:szCs w:val="24"/>
        </w:rPr>
        <w:instrText xml:space="preserve"> HYPERLINK "https://ct35.capitoltrack.com/23/Member/Index/464" </w:instrText>
      </w:r>
      <w:r w:rsidRPr="00376B9F">
        <w:rPr>
          <w:rFonts w:ascii="Verdana" w:hAnsi="Verdana"/>
          <w:b/>
          <w:bCs/>
          <w:sz w:val="24"/>
          <w:szCs w:val="24"/>
        </w:rPr>
        <w:fldChar w:fldCharType="separate"/>
      </w:r>
      <w:r w:rsidRPr="00376B9F">
        <w:rPr>
          <w:rStyle w:val="Hyperlink"/>
          <w:rFonts w:ascii="Verdana" w:hAnsi="Verdana"/>
          <w:b/>
          <w:bCs/>
          <w:sz w:val="24"/>
          <w:szCs w:val="24"/>
        </w:rPr>
        <w:t>Arambula</w:t>
      </w:r>
      <w:proofErr w:type="spellEnd"/>
      <w:r w:rsidRPr="00376B9F">
        <w:rPr>
          <w:rFonts w:ascii="Verdana" w:hAnsi="Verdana"/>
          <w:b/>
          <w:bCs/>
          <w:sz w:val="24"/>
          <w:szCs w:val="24"/>
        </w:rPr>
        <w:fldChar w:fldCharType="end"/>
      </w:r>
      <w:r w:rsidRPr="00376B9F">
        <w:rPr>
          <w:rFonts w:ascii="Verdana" w:hAnsi="Verdana"/>
          <w:b/>
          <w:bCs/>
          <w:sz w:val="24"/>
          <w:szCs w:val="24"/>
        </w:rPr>
        <w:t xml:space="preserve"> </w:t>
      </w:r>
      <w:proofErr w:type="gramStart"/>
      <w:r w:rsidRPr="00376B9F">
        <w:rPr>
          <w:rFonts w:ascii="Verdana" w:hAnsi="Verdana"/>
          <w:b/>
          <w:bCs/>
          <w:sz w:val="24"/>
          <w:szCs w:val="24"/>
        </w:rPr>
        <w:t>D )</w:t>
      </w:r>
      <w:proofErr w:type="gramEnd"/>
      <w:r w:rsidRPr="00376B9F">
        <w:rPr>
          <w:rFonts w:ascii="Verdana" w:hAnsi="Verdana"/>
          <w:b/>
          <w:bCs/>
          <w:sz w:val="24"/>
          <w:szCs w:val="24"/>
        </w:rPr>
        <w:t xml:space="preserve"> Public postsecondary education: students with disabilities: inclusive college pilot programs.</w:t>
      </w:r>
    </w:p>
    <w:p w:rsidR="004363F8" w:rsidRPr="00376B9F" w:rsidRDefault="004363F8" w:rsidP="004363F8">
      <w:pPr>
        <w:pStyle w:val="ListParagraph"/>
        <w:spacing w:after="0" w:line="240" w:lineRule="auto"/>
        <w:rPr>
          <w:rFonts w:ascii="Verdana" w:eastAsia="Times New Roman" w:hAnsi="Verdana" w:cs="Times New Roman"/>
          <w:sz w:val="24"/>
          <w:szCs w:val="24"/>
        </w:rPr>
      </w:pPr>
      <w:r w:rsidRPr="00376B9F">
        <w:rPr>
          <w:rFonts w:ascii="Verdana" w:eastAsia="Times New Roman" w:hAnsi="Verdana" w:cs="Times New Roman"/>
          <w:sz w:val="24"/>
          <w:szCs w:val="24"/>
        </w:rPr>
        <w:t xml:space="preserve">2/7/2023-From printer. May be heard in committee March 9. </w:t>
      </w:r>
    </w:p>
    <w:p w:rsidR="004363F8" w:rsidRPr="00376B9F" w:rsidRDefault="004363F8" w:rsidP="004363F8">
      <w:pPr>
        <w:pStyle w:val="ListParagraph"/>
        <w:spacing w:after="0" w:line="240" w:lineRule="auto"/>
        <w:rPr>
          <w:rFonts w:ascii="Verdana" w:eastAsia="Times New Roman" w:hAnsi="Verdana" w:cs="Times New Roman"/>
          <w:sz w:val="24"/>
          <w:szCs w:val="24"/>
        </w:rPr>
      </w:pPr>
    </w:p>
    <w:p w:rsidR="004363F8" w:rsidRPr="00376B9F" w:rsidRDefault="004363F8" w:rsidP="004363F8">
      <w:pPr>
        <w:pStyle w:val="ListParagraph"/>
        <w:spacing w:after="0" w:line="240" w:lineRule="auto"/>
        <w:rPr>
          <w:rFonts w:ascii="Verdana" w:eastAsia="Times New Roman" w:hAnsi="Verdana" w:cs="Times New Roman"/>
          <w:sz w:val="24"/>
          <w:szCs w:val="24"/>
        </w:rPr>
      </w:pPr>
      <w:r w:rsidRPr="00376B9F">
        <w:rPr>
          <w:rFonts w:ascii="Verdana" w:eastAsia="Times New Roman" w:hAnsi="Verdana" w:cs="Times New Roman"/>
          <w:sz w:val="24"/>
          <w:szCs w:val="24"/>
        </w:rPr>
        <w:t xml:space="preserve">Would require the California State University, and request the University of California, to establish pilot programs to establish and maintain inclusive college programs for students with intellectual and developmental disabilities at 4-year public postsecondary educational institutions, as provided. </w:t>
      </w:r>
    </w:p>
    <w:p w:rsidR="004363F8" w:rsidRPr="00376B9F" w:rsidRDefault="004363F8" w:rsidP="004363F8">
      <w:pPr>
        <w:pStyle w:val="ListParagraph"/>
        <w:spacing w:after="0" w:line="240" w:lineRule="auto"/>
        <w:rPr>
          <w:rFonts w:ascii="Verdana" w:eastAsia="Times New Roman" w:hAnsi="Verdana" w:cs="Times New Roman"/>
          <w:sz w:val="24"/>
          <w:szCs w:val="24"/>
        </w:rPr>
      </w:pPr>
    </w:p>
    <w:p w:rsidR="00500FD3" w:rsidRPr="00376B9F" w:rsidRDefault="00500FD3" w:rsidP="00500FD3">
      <w:pPr>
        <w:pStyle w:val="ListParagraph"/>
        <w:numPr>
          <w:ilvl w:val="0"/>
          <w:numId w:val="18"/>
        </w:numPr>
        <w:rPr>
          <w:rFonts w:ascii="Verdana" w:hAnsi="Verdana"/>
          <w:sz w:val="24"/>
          <w:szCs w:val="24"/>
        </w:rPr>
      </w:pPr>
      <w:hyperlink r:id="rId23" w:history="1">
        <w:r w:rsidRPr="00376B9F">
          <w:rPr>
            <w:rStyle w:val="Hyperlink"/>
            <w:rFonts w:ascii="Verdana" w:hAnsi="Verdana"/>
            <w:b/>
            <w:bCs/>
            <w:sz w:val="24"/>
            <w:szCs w:val="24"/>
          </w:rPr>
          <w:t>ACR 11</w:t>
        </w:r>
      </w:hyperlink>
      <w:r w:rsidRPr="00376B9F">
        <w:rPr>
          <w:rFonts w:ascii="Verdana" w:hAnsi="Verdana"/>
          <w:b/>
          <w:bCs/>
          <w:sz w:val="24"/>
          <w:szCs w:val="24"/>
        </w:rPr>
        <w:t xml:space="preserve"> (</w:t>
      </w:r>
      <w:hyperlink r:id="rId24" w:history="1">
        <w:r w:rsidRPr="00376B9F">
          <w:rPr>
            <w:rStyle w:val="Hyperlink"/>
            <w:rFonts w:ascii="Verdana" w:hAnsi="Verdana"/>
            <w:b/>
            <w:bCs/>
            <w:sz w:val="24"/>
            <w:szCs w:val="24"/>
          </w:rPr>
          <w:t>Wicks</w:t>
        </w:r>
      </w:hyperlink>
      <w:r w:rsidRPr="00376B9F">
        <w:rPr>
          <w:rFonts w:ascii="Verdana" w:hAnsi="Verdana"/>
          <w:b/>
          <w:bCs/>
          <w:sz w:val="24"/>
          <w:szCs w:val="24"/>
        </w:rPr>
        <w:t xml:space="preserve"> D ) National Caregivers Day. </w:t>
      </w:r>
      <w:r w:rsidRPr="00376B9F">
        <w:rPr>
          <w:rFonts w:ascii="Verdana" w:hAnsi="Verdana"/>
          <w:sz w:val="24"/>
          <w:szCs w:val="24"/>
        </w:rPr>
        <w:t xml:space="preserve">2/7/2023-From printer. </w:t>
      </w:r>
    </w:p>
    <w:p w:rsidR="00500FD3" w:rsidRPr="00376B9F" w:rsidRDefault="00500FD3" w:rsidP="00500FD3">
      <w:pPr>
        <w:pStyle w:val="ListParagraph"/>
        <w:spacing w:after="0" w:line="240" w:lineRule="auto"/>
        <w:rPr>
          <w:rFonts w:ascii="Verdana" w:hAnsi="Verdana"/>
          <w:sz w:val="24"/>
          <w:szCs w:val="24"/>
        </w:rPr>
      </w:pPr>
    </w:p>
    <w:p w:rsidR="004363F8" w:rsidRPr="00376B9F" w:rsidRDefault="00500FD3" w:rsidP="00500FD3">
      <w:pPr>
        <w:pStyle w:val="ListParagraph"/>
        <w:spacing w:after="0" w:line="240" w:lineRule="auto"/>
        <w:rPr>
          <w:rFonts w:ascii="Verdana" w:hAnsi="Verdana"/>
          <w:sz w:val="24"/>
          <w:szCs w:val="24"/>
        </w:rPr>
      </w:pPr>
      <w:r w:rsidRPr="00376B9F">
        <w:rPr>
          <w:rFonts w:ascii="Verdana" w:hAnsi="Verdana"/>
          <w:sz w:val="24"/>
          <w:szCs w:val="24"/>
        </w:rPr>
        <w:t>This measure would recognize February 17, 2023, as National Caregivers Day in California.</w:t>
      </w:r>
    </w:p>
    <w:p w:rsidR="00500FD3" w:rsidRPr="00376B9F" w:rsidRDefault="00500FD3" w:rsidP="00500FD3">
      <w:pPr>
        <w:pStyle w:val="ListParagraph"/>
        <w:spacing w:after="0" w:line="240" w:lineRule="auto"/>
        <w:rPr>
          <w:rFonts w:ascii="Verdana" w:hAnsi="Verdana"/>
          <w:sz w:val="24"/>
          <w:szCs w:val="24"/>
        </w:rPr>
      </w:pPr>
    </w:p>
    <w:p w:rsidR="00376B9F" w:rsidRPr="00376B9F" w:rsidRDefault="00376B9F" w:rsidP="00376B9F">
      <w:pPr>
        <w:pStyle w:val="ListParagraph"/>
        <w:numPr>
          <w:ilvl w:val="0"/>
          <w:numId w:val="18"/>
        </w:numPr>
        <w:rPr>
          <w:rFonts w:ascii="Verdana" w:hAnsi="Verdana"/>
          <w:sz w:val="24"/>
          <w:szCs w:val="24"/>
        </w:rPr>
      </w:pPr>
      <w:hyperlink r:id="rId25" w:history="1">
        <w:r w:rsidRPr="00376B9F">
          <w:rPr>
            <w:rStyle w:val="Hyperlink"/>
            <w:rFonts w:ascii="Verdana" w:hAnsi="Verdana"/>
            <w:b/>
            <w:bCs/>
            <w:sz w:val="24"/>
            <w:szCs w:val="24"/>
          </w:rPr>
          <w:t>SB 271</w:t>
        </w:r>
      </w:hyperlink>
      <w:r w:rsidRPr="00376B9F">
        <w:rPr>
          <w:rFonts w:ascii="Verdana" w:hAnsi="Verdana"/>
          <w:b/>
          <w:bCs/>
          <w:sz w:val="24"/>
          <w:szCs w:val="24"/>
        </w:rPr>
        <w:t xml:space="preserve"> (</w:t>
      </w:r>
      <w:hyperlink r:id="rId26" w:history="1">
        <w:r w:rsidRPr="00376B9F">
          <w:rPr>
            <w:rStyle w:val="Hyperlink"/>
            <w:rFonts w:ascii="Verdana" w:hAnsi="Verdana"/>
            <w:b/>
            <w:bCs/>
            <w:sz w:val="24"/>
            <w:szCs w:val="24"/>
          </w:rPr>
          <w:t>Dodd</w:t>
        </w:r>
      </w:hyperlink>
      <w:r w:rsidRPr="00376B9F">
        <w:rPr>
          <w:rFonts w:ascii="Verdana" w:hAnsi="Verdana"/>
          <w:b/>
          <w:bCs/>
          <w:sz w:val="24"/>
          <w:szCs w:val="24"/>
        </w:rPr>
        <w:t xml:space="preserve"> D ) Powered wheelchairs: right to repair. </w:t>
      </w:r>
    </w:p>
    <w:p w:rsidR="00376B9F" w:rsidRPr="00376B9F" w:rsidRDefault="00376B9F" w:rsidP="00376B9F">
      <w:pPr>
        <w:pStyle w:val="ListParagraph"/>
        <w:rPr>
          <w:rFonts w:ascii="Verdana" w:hAnsi="Verdana"/>
          <w:sz w:val="24"/>
          <w:szCs w:val="24"/>
        </w:rPr>
      </w:pPr>
      <w:r w:rsidRPr="00376B9F">
        <w:rPr>
          <w:rFonts w:ascii="Verdana" w:hAnsi="Verdana"/>
          <w:sz w:val="24"/>
          <w:szCs w:val="24"/>
        </w:rPr>
        <w:lastRenderedPageBreak/>
        <w:t xml:space="preserve">2/1/2023-From printer. May be acted upon on or after March 3. </w:t>
      </w:r>
    </w:p>
    <w:p w:rsidR="00376B9F" w:rsidRPr="00376B9F" w:rsidRDefault="00376B9F" w:rsidP="00376B9F">
      <w:pPr>
        <w:pStyle w:val="ListParagraph"/>
        <w:spacing w:after="0" w:line="240" w:lineRule="auto"/>
        <w:rPr>
          <w:rFonts w:ascii="Verdana" w:hAnsi="Verdana"/>
          <w:sz w:val="24"/>
          <w:szCs w:val="24"/>
        </w:rPr>
      </w:pPr>
    </w:p>
    <w:p w:rsidR="00C177F1" w:rsidRDefault="00376B9F" w:rsidP="00376B9F">
      <w:pPr>
        <w:pStyle w:val="ListParagraph"/>
        <w:spacing w:after="0" w:line="240" w:lineRule="auto"/>
        <w:rPr>
          <w:rFonts w:ascii="Verdana" w:hAnsi="Verdana"/>
          <w:sz w:val="24"/>
          <w:szCs w:val="24"/>
        </w:rPr>
      </w:pPr>
      <w:r w:rsidRPr="00376B9F">
        <w:rPr>
          <w:rFonts w:ascii="Verdana" w:hAnsi="Verdana"/>
          <w:sz w:val="24"/>
          <w:szCs w:val="24"/>
        </w:rPr>
        <w:t xml:space="preserve">Would require an original manufacturer, as defined, of a powered wheelchair to provide documentation, parts, embedded software, firmware, and tools used to inspect, diagnose, maintain, and repair the wheelchair to an owner or an independent repair provider for the purposes of providing service on the equipment in the state, on fair and reasonable terms and costs, as defined. The bill would also require an original manufacturer, for a powered wheelchair that contains an electronic security lock or other security-related function, to provide any documentation, parts, embedded software, firmware, or tools needed to reset the lock or function when disabled </w:t>
      </w:r>
      <w:proofErr w:type="gramStart"/>
      <w:r w:rsidRPr="00376B9F">
        <w:rPr>
          <w:rFonts w:ascii="Verdana" w:hAnsi="Verdana"/>
          <w:sz w:val="24"/>
          <w:szCs w:val="24"/>
        </w:rPr>
        <w:t>in the course of</w:t>
      </w:r>
      <w:proofErr w:type="gramEnd"/>
      <w:r w:rsidRPr="00376B9F">
        <w:rPr>
          <w:rFonts w:ascii="Verdana" w:hAnsi="Verdana"/>
          <w:sz w:val="24"/>
          <w:szCs w:val="24"/>
        </w:rPr>
        <w:t xml:space="preserve"> providing services, as specified.</w:t>
      </w:r>
    </w:p>
    <w:p w:rsidR="00376B9F" w:rsidRPr="00376B9F" w:rsidRDefault="00376B9F" w:rsidP="00376B9F">
      <w:pPr>
        <w:pStyle w:val="ListParagraph"/>
        <w:spacing w:after="0" w:line="240" w:lineRule="auto"/>
        <w:rPr>
          <w:rFonts w:ascii="Verdana" w:hAnsi="Verdana"/>
          <w:sz w:val="24"/>
          <w:szCs w:val="24"/>
        </w:rPr>
      </w:pPr>
    </w:p>
    <w:p w:rsidR="00D24B18" w:rsidRPr="000D0F86" w:rsidRDefault="00D24B18" w:rsidP="00432A9E">
      <w:pPr>
        <w:pStyle w:val="NormalWeb"/>
        <w:rPr>
          <w:rFonts w:ascii="Verdana" w:hAnsi="Verdana"/>
          <w:b/>
          <w:bCs/>
        </w:rPr>
      </w:pPr>
      <w:r w:rsidRPr="000D0F86">
        <w:rPr>
          <w:rFonts w:ascii="Verdana" w:hAnsi="Verdana"/>
          <w:b/>
          <w:bCs/>
        </w:rPr>
        <w:t>CA St</w:t>
      </w:r>
      <w:r w:rsidR="00432A9E" w:rsidRPr="000D0F86">
        <w:rPr>
          <w:rFonts w:ascii="Verdana" w:hAnsi="Verdana"/>
          <w:b/>
          <w:bCs/>
        </w:rPr>
        <w:t>a</w:t>
      </w:r>
      <w:r w:rsidRPr="000D0F86">
        <w:rPr>
          <w:rFonts w:ascii="Verdana" w:hAnsi="Verdana"/>
          <w:b/>
          <w:bCs/>
        </w:rPr>
        <w:t xml:space="preserve">te Budget </w:t>
      </w:r>
    </w:p>
    <w:p w:rsidR="00D24B18" w:rsidRPr="000D0F86" w:rsidRDefault="00D24B18" w:rsidP="00D24B18">
      <w:pPr>
        <w:pStyle w:val="NormalWeb"/>
        <w:numPr>
          <w:ilvl w:val="0"/>
          <w:numId w:val="5"/>
        </w:numPr>
        <w:rPr>
          <w:rFonts w:ascii="Verdana" w:hAnsi="Verdana"/>
        </w:rPr>
      </w:pPr>
      <w:r w:rsidRPr="000D0F86">
        <w:rPr>
          <w:rFonts w:ascii="Verdana" w:hAnsi="Verdana"/>
        </w:rPr>
        <w:t xml:space="preserve">Gov’s FY 2023-24 Budget Proposal </w:t>
      </w:r>
    </w:p>
    <w:p w:rsidR="00D24B18" w:rsidRPr="000D0F86" w:rsidRDefault="00D24B18" w:rsidP="00D24B18">
      <w:pPr>
        <w:pStyle w:val="NormalWeb"/>
        <w:numPr>
          <w:ilvl w:val="1"/>
          <w:numId w:val="5"/>
        </w:numPr>
        <w:rPr>
          <w:rFonts w:ascii="Verdana" w:hAnsi="Verdana"/>
        </w:rPr>
      </w:pPr>
      <w:r w:rsidRPr="000D0F86">
        <w:rPr>
          <w:rFonts w:ascii="Verdana" w:hAnsi="Verdana"/>
        </w:rPr>
        <w:t xml:space="preserve">Visit </w:t>
      </w:r>
      <w:hyperlink r:id="rId27" w:history="1">
        <w:r w:rsidRPr="000D0F86">
          <w:rPr>
            <w:rStyle w:val="Hyperlink"/>
            <w:rFonts w:ascii="Verdana" w:hAnsi="Verdana"/>
          </w:rPr>
          <w:t>https://ebudget.ca.gov/</w:t>
        </w:r>
      </w:hyperlink>
      <w:r w:rsidRPr="000D0F86">
        <w:rPr>
          <w:rFonts w:ascii="Verdana" w:hAnsi="Verdana"/>
        </w:rPr>
        <w:t xml:space="preserve"> </w:t>
      </w:r>
    </w:p>
    <w:p w:rsidR="00820440" w:rsidRPr="000D0F86" w:rsidRDefault="00820440" w:rsidP="00820440">
      <w:pPr>
        <w:pStyle w:val="NormalWeb"/>
        <w:numPr>
          <w:ilvl w:val="2"/>
          <w:numId w:val="5"/>
        </w:numPr>
        <w:rPr>
          <w:rFonts w:ascii="Verdana" w:hAnsi="Verdana"/>
        </w:rPr>
      </w:pPr>
      <w:r w:rsidRPr="000D0F86">
        <w:rPr>
          <w:rFonts w:ascii="Verdana" w:hAnsi="Verdana"/>
        </w:rPr>
        <w:t xml:space="preserve">The Governor's proposed spending plan will go to the California Legislature to review through budget subcommittee hearings beginning in February through May. </w:t>
      </w:r>
    </w:p>
    <w:p w:rsidR="00820440" w:rsidRPr="000D0F86" w:rsidRDefault="00820440" w:rsidP="00820440">
      <w:pPr>
        <w:pStyle w:val="NormalWeb"/>
        <w:numPr>
          <w:ilvl w:val="2"/>
          <w:numId w:val="5"/>
        </w:numPr>
        <w:rPr>
          <w:rFonts w:ascii="Verdana" w:hAnsi="Verdana"/>
        </w:rPr>
      </w:pPr>
      <w:r w:rsidRPr="000D0F86">
        <w:rPr>
          <w:rFonts w:ascii="Verdana" w:hAnsi="Verdana"/>
        </w:rPr>
        <w:t>The Governor will release, as required by law, an updated or revised version of his proposed 2023-2024 State Budget, including any new or withdrawn budget proposals - known as the "May Revise". </w:t>
      </w:r>
    </w:p>
    <w:p w:rsidR="00D24B18" w:rsidRPr="000D0F86" w:rsidRDefault="00D24B18" w:rsidP="00D24B18">
      <w:pPr>
        <w:pStyle w:val="NormalWeb"/>
        <w:rPr>
          <w:rFonts w:ascii="Verdana" w:hAnsi="Verdana"/>
          <w:b/>
          <w:bCs/>
        </w:rPr>
      </w:pPr>
      <w:r w:rsidRPr="000D0F86">
        <w:rPr>
          <w:rFonts w:ascii="Verdana" w:hAnsi="Verdana"/>
          <w:b/>
          <w:bCs/>
        </w:rPr>
        <w:t xml:space="preserve">U.S. Congress </w:t>
      </w:r>
    </w:p>
    <w:p w:rsidR="00266BF8" w:rsidRPr="000D0F86" w:rsidRDefault="00D24B18" w:rsidP="00266BF8">
      <w:pPr>
        <w:pStyle w:val="NormalWeb"/>
        <w:numPr>
          <w:ilvl w:val="0"/>
          <w:numId w:val="2"/>
        </w:numPr>
        <w:spacing w:after="0" w:afterAutospacing="0"/>
        <w:rPr>
          <w:rFonts w:ascii="Verdana" w:hAnsi="Verdana"/>
        </w:rPr>
      </w:pPr>
      <w:r w:rsidRPr="000D0F86">
        <w:rPr>
          <w:rFonts w:ascii="Verdana" w:hAnsi="Verdana"/>
        </w:rPr>
        <w:t>The 118th Congress opened on January 3, 2023. New legislation of interest to the SILC will be added here after discussion at the C&amp;C meetings.</w:t>
      </w:r>
    </w:p>
    <w:p w:rsidR="004A5BE5" w:rsidRPr="000D0F86" w:rsidRDefault="004A5BE5" w:rsidP="001E0997">
      <w:pPr>
        <w:rPr>
          <w:rFonts w:ascii="Verdana" w:hAnsi="Verdana"/>
          <w:sz w:val="24"/>
          <w:szCs w:val="24"/>
        </w:rPr>
      </w:pPr>
    </w:p>
    <w:p w:rsidR="001E0997" w:rsidRPr="000D0F86" w:rsidRDefault="001E0997" w:rsidP="001E0997">
      <w:pPr>
        <w:rPr>
          <w:rFonts w:ascii="Verdana" w:hAnsi="Verdana"/>
          <w:b/>
          <w:bCs/>
          <w:sz w:val="24"/>
          <w:szCs w:val="24"/>
        </w:rPr>
      </w:pPr>
      <w:r w:rsidRPr="000D0F86">
        <w:rPr>
          <w:rFonts w:ascii="Verdana" w:hAnsi="Verdana"/>
          <w:b/>
          <w:bCs/>
          <w:sz w:val="24"/>
          <w:szCs w:val="24"/>
        </w:rPr>
        <w:t>SILC Watchlist (items remaining from previous years)</w:t>
      </w:r>
    </w:p>
    <w:p w:rsidR="000D0F86" w:rsidRPr="000D0F86" w:rsidRDefault="00820440" w:rsidP="000D0F86">
      <w:pPr>
        <w:pStyle w:val="NormalWeb"/>
        <w:numPr>
          <w:ilvl w:val="0"/>
          <w:numId w:val="10"/>
        </w:numPr>
        <w:rPr>
          <w:rFonts w:ascii="Verdana" w:hAnsi="Verdana"/>
          <w:i/>
          <w:iCs/>
        </w:rPr>
      </w:pPr>
      <w:r w:rsidRPr="000D0F86">
        <w:rPr>
          <w:rFonts w:ascii="Verdana" w:hAnsi="Verdana"/>
          <w:u w:val="single"/>
        </w:rPr>
        <w:t>H.R. 1 (Sarbanes) For the People Act of 2021</w:t>
      </w:r>
      <w:r w:rsidRPr="000D0F86">
        <w:rPr>
          <w:rFonts w:ascii="Verdana" w:hAnsi="Verdana"/>
        </w:rPr>
        <w:t xml:space="preserve"> </w:t>
      </w:r>
      <w:r w:rsidR="000D0F86" w:rsidRPr="000D0F86">
        <w:rPr>
          <w:rFonts w:ascii="Verdana" w:hAnsi="Verdana"/>
        </w:rPr>
        <w:t xml:space="preserve"> </w:t>
      </w:r>
    </w:p>
    <w:p w:rsidR="00820440" w:rsidRPr="000D0F86" w:rsidRDefault="00820440" w:rsidP="000D0F86">
      <w:pPr>
        <w:pStyle w:val="NormalWeb"/>
        <w:ind w:left="720"/>
        <w:rPr>
          <w:rFonts w:ascii="Verdana" w:hAnsi="Verdana"/>
          <w:i/>
          <w:iCs/>
        </w:rPr>
      </w:pPr>
      <w:r w:rsidRPr="000D0F86">
        <w:rPr>
          <w:rFonts w:ascii="Verdana" w:hAnsi="Verdana"/>
        </w:rPr>
        <w:t xml:space="preserve">Status: 3/11/2021 Received in the Senate. Passed in the House on 3/3/2021. Co-sponsors: 222 (42 California). </w:t>
      </w:r>
      <w:r w:rsidRPr="000D0F86">
        <w:rPr>
          <w:rFonts w:ascii="Verdana" w:hAnsi="Verdana"/>
          <w:i/>
          <w:iCs/>
        </w:rPr>
        <w:t xml:space="preserve">Idle in Senate since 3/3/21. </w:t>
      </w:r>
    </w:p>
    <w:p w:rsidR="00820440" w:rsidRPr="000D0F86" w:rsidRDefault="00820440" w:rsidP="000D0F86">
      <w:pPr>
        <w:pStyle w:val="NormalWeb"/>
        <w:ind w:left="720"/>
        <w:rPr>
          <w:rFonts w:ascii="Verdana" w:hAnsi="Verdana"/>
        </w:rPr>
      </w:pPr>
      <w:r w:rsidRPr="000D0F86">
        <w:rPr>
          <w:rFonts w:ascii="Verdana" w:hAnsi="Verdana"/>
        </w:rPr>
        <w:lastRenderedPageBreak/>
        <w:t xml:space="preserve">Includes several areas of democracy reform, including voting rights, election security, and voting accessibility. There is a concern about the requirement for voter-verified paper ballots, which is an issue for individuals with disabilities. </w:t>
      </w:r>
    </w:p>
    <w:p w:rsidR="000D0F86" w:rsidRPr="000D0F86" w:rsidRDefault="00820440" w:rsidP="000D0F86">
      <w:pPr>
        <w:pStyle w:val="NormalWeb"/>
        <w:numPr>
          <w:ilvl w:val="0"/>
          <w:numId w:val="10"/>
        </w:numPr>
        <w:rPr>
          <w:rFonts w:ascii="Verdana" w:hAnsi="Verdana"/>
          <w:i/>
          <w:iCs/>
        </w:rPr>
      </w:pPr>
      <w:r w:rsidRPr="000D0F86">
        <w:rPr>
          <w:rFonts w:ascii="Verdana" w:hAnsi="Verdana"/>
          <w:u w:val="single"/>
        </w:rPr>
        <w:t>H.R. 77 (Calvert) ACCESS Act (ADA Compliance for Customer Entry to Stores and Services Act)</w:t>
      </w:r>
      <w:r w:rsidRPr="000D0F86">
        <w:rPr>
          <w:rFonts w:ascii="Verdana" w:hAnsi="Verdana"/>
        </w:rPr>
        <w:t xml:space="preserve"> </w:t>
      </w:r>
    </w:p>
    <w:p w:rsidR="00820440" w:rsidRPr="000D0F86" w:rsidRDefault="00820440" w:rsidP="000D0F86">
      <w:pPr>
        <w:pStyle w:val="NormalWeb"/>
        <w:ind w:left="720"/>
        <w:rPr>
          <w:rFonts w:ascii="Verdana" w:hAnsi="Verdana"/>
          <w:i/>
          <w:iCs/>
        </w:rPr>
      </w:pPr>
      <w:r w:rsidRPr="000D0F86">
        <w:rPr>
          <w:rFonts w:ascii="Verdana" w:hAnsi="Verdana"/>
        </w:rPr>
        <w:t xml:space="preserve">Status: 3/1/2021 Referred to House Judiciary Subcommittee on Crime, Terrorism, and Homeland Security. Co-sponsors: 2 (0 California). </w:t>
      </w:r>
      <w:r w:rsidRPr="000D0F86">
        <w:rPr>
          <w:rFonts w:ascii="Verdana" w:hAnsi="Verdana"/>
          <w:i/>
          <w:iCs/>
        </w:rPr>
        <w:t xml:space="preserve">Idle in House since 3/1/21 </w:t>
      </w:r>
    </w:p>
    <w:p w:rsidR="00820440" w:rsidRPr="000D0F86" w:rsidRDefault="00820440" w:rsidP="000D0F86">
      <w:pPr>
        <w:pStyle w:val="NormalWeb"/>
        <w:ind w:left="720"/>
        <w:rPr>
          <w:rFonts w:ascii="Verdana" w:hAnsi="Verdana"/>
        </w:rPr>
      </w:pPr>
      <w:r w:rsidRPr="000D0F86">
        <w:rPr>
          <w:rFonts w:ascii="Verdana" w:hAnsi="Verdana"/>
        </w:rPr>
        <w:t>Requires the Department of Justice (DOJ) to develop a program to educate state and local governments and property owners on strategies for promoting access to public accommodations. Authorizes an aggrieved person, after taking specified actions, to commence a civil action based on the failure to remove an architectural barrier to access an existing public accommodation.</w:t>
      </w:r>
    </w:p>
    <w:p w:rsidR="000D0F86" w:rsidRPr="000D0F86" w:rsidRDefault="00820440" w:rsidP="000D0F86">
      <w:pPr>
        <w:pStyle w:val="NormalWeb"/>
        <w:numPr>
          <w:ilvl w:val="0"/>
          <w:numId w:val="10"/>
        </w:numPr>
        <w:rPr>
          <w:rFonts w:ascii="Verdana" w:hAnsi="Verdana"/>
        </w:rPr>
      </w:pPr>
      <w:r w:rsidRPr="000D0F86">
        <w:rPr>
          <w:rFonts w:ascii="Verdana" w:hAnsi="Verdana"/>
          <w:u w:val="single"/>
        </w:rPr>
        <w:t>H.R. 1697 (Langevin) Disability Access to Transportation Act</w:t>
      </w:r>
      <w:r w:rsidRPr="000D0F86">
        <w:rPr>
          <w:rFonts w:ascii="Verdana" w:hAnsi="Verdana"/>
        </w:rPr>
        <w:t xml:space="preserve"> </w:t>
      </w:r>
    </w:p>
    <w:p w:rsidR="00820440" w:rsidRPr="000D0F86" w:rsidRDefault="00820440" w:rsidP="000D0F86">
      <w:pPr>
        <w:pStyle w:val="NormalWeb"/>
        <w:ind w:left="720"/>
        <w:rPr>
          <w:rFonts w:ascii="Verdana" w:hAnsi="Verdana"/>
        </w:rPr>
      </w:pPr>
      <w:r w:rsidRPr="000D0F86">
        <w:rPr>
          <w:rFonts w:ascii="Verdana" w:hAnsi="Verdana"/>
        </w:rPr>
        <w:t xml:space="preserve">Status: 3/10/2021 Referred to the House Subcommittee on Highways and Transit. Co-sponsors 9 (1 California). House - </w:t>
      </w:r>
      <w:r w:rsidRPr="000D0F86">
        <w:rPr>
          <w:rFonts w:ascii="Verdana" w:hAnsi="Verdana"/>
          <w:i/>
          <w:iCs/>
        </w:rPr>
        <w:t>03/10/2021 Referred to the Subcommittee on Highways and Transit</w:t>
      </w:r>
      <w:r w:rsidRPr="000D0F86">
        <w:rPr>
          <w:rFonts w:ascii="Verdana" w:hAnsi="Verdana"/>
        </w:rPr>
        <w:t xml:space="preserve"> </w:t>
      </w:r>
    </w:p>
    <w:p w:rsidR="00820440" w:rsidRPr="000D0F86" w:rsidRDefault="00820440" w:rsidP="000D0F86">
      <w:pPr>
        <w:pStyle w:val="NormalWeb"/>
        <w:ind w:left="720"/>
        <w:rPr>
          <w:rFonts w:ascii="Verdana" w:hAnsi="Verdana"/>
        </w:rPr>
      </w:pPr>
      <w:r w:rsidRPr="000D0F86">
        <w:rPr>
          <w:rFonts w:ascii="Verdana" w:hAnsi="Verdana"/>
        </w:rPr>
        <w:t xml:space="preserve">Would establish a one-stop paratransit pilot program that would allow people with disabilities an additional stop, as part of an ongoing paratransit trip, to take care of errands. This program would receive $375 million in funding over 5 years. It would also require the Department of Transportation to set up procedures to allow individuals to submit discrimination complaints by phone, mail-in form, or online to the Federal Transit Administration. </w:t>
      </w:r>
    </w:p>
    <w:p w:rsidR="000D0F86" w:rsidRPr="000D0F86" w:rsidRDefault="00820440" w:rsidP="000D0F86">
      <w:pPr>
        <w:pStyle w:val="NormalWeb"/>
        <w:numPr>
          <w:ilvl w:val="0"/>
          <w:numId w:val="10"/>
        </w:numPr>
        <w:rPr>
          <w:rFonts w:ascii="Verdana" w:hAnsi="Verdana"/>
        </w:rPr>
      </w:pPr>
      <w:r w:rsidRPr="000D0F86">
        <w:rPr>
          <w:rFonts w:ascii="Verdana" w:hAnsi="Verdana"/>
          <w:u w:val="single"/>
        </w:rPr>
        <w:t xml:space="preserve">H.R. 1909 (Castro)/ S. 747 (Padilla) Citizenship for Essential Workers Act </w:t>
      </w:r>
    </w:p>
    <w:p w:rsidR="00820440" w:rsidRPr="000D0F86" w:rsidRDefault="00820440" w:rsidP="000D0F86">
      <w:pPr>
        <w:pStyle w:val="NormalWeb"/>
        <w:ind w:left="720"/>
        <w:rPr>
          <w:rFonts w:ascii="Verdana" w:hAnsi="Verdana"/>
        </w:rPr>
      </w:pPr>
      <w:r w:rsidRPr="000D0F86">
        <w:rPr>
          <w:rFonts w:ascii="Verdana" w:hAnsi="Verdana"/>
        </w:rPr>
        <w:t xml:space="preserve">Status: 5/18/2021 Referred to the Subcommittee on Immigration and Citizenship. Co-sponsors 77 (20 California). S. 747 Status: 5/12/2021 Hearings held in Committee on the Judiciary, Subcommittee on Immigration, Citizenship, and Border Safety. Co-sponsors 18 (0 California. </w:t>
      </w:r>
      <w:r w:rsidRPr="000D0F86">
        <w:rPr>
          <w:rFonts w:ascii="Verdana" w:hAnsi="Verdana"/>
          <w:i/>
          <w:iCs/>
        </w:rPr>
        <w:t>Idle</w:t>
      </w:r>
      <w:r w:rsidRPr="000D0F86">
        <w:rPr>
          <w:rFonts w:ascii="Verdana" w:hAnsi="Verdana"/>
        </w:rPr>
        <w:t xml:space="preserve"> </w:t>
      </w:r>
    </w:p>
    <w:p w:rsidR="00820440" w:rsidRPr="000D0F86" w:rsidRDefault="00820440" w:rsidP="000D0F86">
      <w:pPr>
        <w:pStyle w:val="NormalWeb"/>
        <w:ind w:left="720"/>
        <w:rPr>
          <w:rFonts w:ascii="Verdana" w:hAnsi="Verdana"/>
        </w:rPr>
      </w:pPr>
      <w:r w:rsidRPr="000D0F86">
        <w:rPr>
          <w:rFonts w:ascii="Verdana" w:hAnsi="Verdana"/>
        </w:rPr>
        <w:t xml:space="preserve">Establishes a mechanism for eligible aliens who worked as essential workers during the declared COVID-19 pandemic to apply for and </w:t>
      </w:r>
      <w:r w:rsidRPr="000D0F86">
        <w:rPr>
          <w:rFonts w:ascii="Verdana" w:hAnsi="Verdana"/>
        </w:rPr>
        <w:lastRenderedPageBreak/>
        <w:t xml:space="preserve">obtain permanent resident status. Also narrows certain grounds for deportability and inadmissibility. </w:t>
      </w:r>
    </w:p>
    <w:p w:rsidR="000D0F86" w:rsidRPr="000D0F86" w:rsidRDefault="00820440" w:rsidP="000D0F86">
      <w:pPr>
        <w:pStyle w:val="NormalWeb"/>
        <w:numPr>
          <w:ilvl w:val="0"/>
          <w:numId w:val="10"/>
        </w:numPr>
        <w:rPr>
          <w:rFonts w:ascii="Verdana" w:hAnsi="Verdana"/>
        </w:rPr>
      </w:pPr>
      <w:r w:rsidRPr="000D0F86">
        <w:rPr>
          <w:rFonts w:ascii="Verdana" w:hAnsi="Verdana"/>
          <w:u w:val="single"/>
        </w:rPr>
        <w:t>H.R. 6860 (Clarke)/S. 3417 (Bennet) Latonya Reeves Freedom Act of 2022</w:t>
      </w:r>
      <w:r w:rsidRPr="000D0F86">
        <w:rPr>
          <w:rFonts w:ascii="Verdana" w:hAnsi="Verdana"/>
        </w:rPr>
        <w:t xml:space="preserve"> </w:t>
      </w:r>
    </w:p>
    <w:p w:rsidR="00820440" w:rsidRPr="000D0F86" w:rsidRDefault="00820440" w:rsidP="000D0F86">
      <w:pPr>
        <w:pStyle w:val="NormalWeb"/>
        <w:ind w:left="720"/>
        <w:rPr>
          <w:rFonts w:ascii="Verdana" w:hAnsi="Verdana"/>
        </w:rPr>
      </w:pPr>
      <w:r w:rsidRPr="000D0F86">
        <w:rPr>
          <w:rFonts w:ascii="Verdana" w:hAnsi="Verdana"/>
        </w:rPr>
        <w:t xml:space="preserve">Status: 2/28/2022 Referred to the Subcommittee on Health. Co-sponsors 152 (33 California) S. 3417 Status: 12/16/2021 Read twice and referred to the Committee on Health, Education, Labor, and Pensions. Co-sponsors 14 (0 California) </w:t>
      </w:r>
      <w:r w:rsidRPr="000D0F86">
        <w:rPr>
          <w:rFonts w:ascii="Verdana" w:hAnsi="Verdana"/>
          <w:i/>
          <w:iCs/>
        </w:rPr>
        <w:t>Idle</w:t>
      </w:r>
      <w:r w:rsidRPr="000D0F86">
        <w:rPr>
          <w:rFonts w:ascii="Verdana" w:hAnsi="Verdana"/>
        </w:rPr>
        <w:t xml:space="preserve"> </w:t>
      </w:r>
    </w:p>
    <w:p w:rsidR="00820440" w:rsidRPr="000D0F86" w:rsidRDefault="00820440" w:rsidP="000D0F86">
      <w:pPr>
        <w:pStyle w:val="NormalWeb"/>
        <w:ind w:left="720"/>
        <w:rPr>
          <w:rFonts w:ascii="Verdana" w:hAnsi="Verdana"/>
        </w:rPr>
      </w:pPr>
      <w:r w:rsidRPr="000D0F86">
        <w:rPr>
          <w:rFonts w:ascii="Verdana" w:hAnsi="Verdana"/>
        </w:rPr>
        <w:t xml:space="preserve">Nondiscrimination for individuals with disabilities to obtain community-based services and have access to long-term services, who would otherwise qualify for institutional placement. Government entities must ensure sufficient availability of affordable, accessible, and integrated housing that is not a disability-specific residential setting or a setting where services are tied to tenancy. </w:t>
      </w:r>
    </w:p>
    <w:p w:rsidR="000D0F86" w:rsidRPr="000D0F86" w:rsidRDefault="00820440" w:rsidP="00820440">
      <w:pPr>
        <w:pStyle w:val="NormalWeb"/>
        <w:numPr>
          <w:ilvl w:val="0"/>
          <w:numId w:val="10"/>
        </w:numPr>
        <w:rPr>
          <w:rFonts w:ascii="Verdana" w:hAnsi="Verdana"/>
        </w:rPr>
      </w:pPr>
      <w:r w:rsidRPr="000D0F86">
        <w:rPr>
          <w:rFonts w:ascii="Verdana" w:hAnsi="Verdana"/>
          <w:u w:val="single"/>
        </w:rPr>
        <w:t>S. 4764 (Murray) Reproductive Health Care Accessibility Act</w:t>
      </w:r>
      <w:r w:rsidRPr="000D0F86">
        <w:rPr>
          <w:rFonts w:ascii="Verdana" w:hAnsi="Verdana"/>
        </w:rPr>
        <w:t xml:space="preserve"> </w:t>
      </w:r>
    </w:p>
    <w:p w:rsidR="00820440" w:rsidRPr="000D0F86" w:rsidRDefault="00820440" w:rsidP="000D0F86">
      <w:pPr>
        <w:pStyle w:val="NormalWeb"/>
        <w:ind w:left="720"/>
        <w:rPr>
          <w:rFonts w:ascii="Verdana" w:hAnsi="Verdana"/>
        </w:rPr>
      </w:pPr>
      <w:r w:rsidRPr="000D0F86">
        <w:rPr>
          <w:rFonts w:ascii="Verdana" w:hAnsi="Verdana"/>
        </w:rPr>
        <w:t xml:space="preserve">Status: 8/3/2022 Read twice and referred to the Senate Committee on Health, Education, Labor, and Pensions. Co-sponsors 11 (0 California). </w:t>
      </w:r>
      <w:r w:rsidRPr="000D0F86">
        <w:rPr>
          <w:rFonts w:ascii="Verdana" w:hAnsi="Verdana"/>
          <w:i/>
          <w:iCs/>
        </w:rPr>
        <w:t xml:space="preserve">Idle </w:t>
      </w:r>
    </w:p>
    <w:p w:rsidR="00820440" w:rsidRPr="000D0F86" w:rsidRDefault="00820440" w:rsidP="000D0F86">
      <w:pPr>
        <w:pStyle w:val="NormalWeb"/>
        <w:ind w:left="720"/>
        <w:rPr>
          <w:rFonts w:ascii="Verdana" w:hAnsi="Verdana"/>
        </w:rPr>
      </w:pPr>
      <w:r w:rsidRPr="000D0F86">
        <w:rPr>
          <w:rFonts w:ascii="Verdana" w:hAnsi="Verdana"/>
        </w:rPr>
        <w:t xml:space="preserve">Would eliminate barriers to sexual and reproductive health care for people with disabilities by increasing funding for: education and training programs for existing reproductive health care professionals, recruitment of staff with disabilities in the healthcare workforce, increased sexual and reproductive health care education programs for people with disabilities, establish new technical assistance center to provide recommendations and best practices to serve people with disabilities, and direct the Department of Health and Human Services to carry out a study to analyze reproductive health care for people with disabilities. </w:t>
      </w:r>
    </w:p>
    <w:p w:rsidR="001E0997" w:rsidRPr="000D0F86" w:rsidRDefault="001E0997" w:rsidP="001E0997">
      <w:pPr>
        <w:rPr>
          <w:rFonts w:ascii="Verdana" w:hAnsi="Verdana"/>
          <w:b/>
          <w:bCs/>
          <w:sz w:val="24"/>
          <w:szCs w:val="24"/>
        </w:rPr>
      </w:pPr>
    </w:p>
    <w:sectPr w:rsidR="001E0997" w:rsidRPr="000D0F86">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7BC" w:rsidRDefault="00F737BC" w:rsidP="000D0F86">
      <w:pPr>
        <w:spacing w:after="0" w:line="240" w:lineRule="auto"/>
      </w:pPr>
      <w:r>
        <w:separator/>
      </w:r>
    </w:p>
  </w:endnote>
  <w:endnote w:type="continuationSeparator" w:id="0">
    <w:p w:rsidR="00F737BC" w:rsidRDefault="00F737BC" w:rsidP="000D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7BC" w:rsidRDefault="00F737BC" w:rsidP="000D0F86">
      <w:pPr>
        <w:spacing w:after="0" w:line="240" w:lineRule="auto"/>
      </w:pPr>
      <w:r>
        <w:separator/>
      </w:r>
    </w:p>
  </w:footnote>
  <w:footnote w:type="continuationSeparator" w:id="0">
    <w:p w:rsidR="00F737BC" w:rsidRDefault="00F737BC" w:rsidP="000D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F86" w:rsidRDefault="000D0F86">
    <w:pPr>
      <w:pStyle w:val="Header"/>
    </w:pPr>
    <w:r>
      <w:t xml:space="preserve">SILC Legislative Updates </w:t>
    </w:r>
    <w:r w:rsidR="00376B9F">
      <w:t>February</w:t>
    </w:r>
    <w:r>
      <w:t xml:space="preserve"> 2023</w:t>
    </w:r>
  </w:p>
  <w:p w:rsidR="000D0F86" w:rsidRDefault="000D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278"/>
    <w:multiLevelType w:val="multilevel"/>
    <w:tmpl w:val="E2DC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82A77"/>
    <w:multiLevelType w:val="hybridMultilevel"/>
    <w:tmpl w:val="7FDC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F3D9E"/>
    <w:multiLevelType w:val="hybridMultilevel"/>
    <w:tmpl w:val="24CE4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307385"/>
    <w:multiLevelType w:val="hybridMultilevel"/>
    <w:tmpl w:val="0BB0D740"/>
    <w:lvl w:ilvl="0" w:tplc="0409000F">
      <w:start w:val="1"/>
      <w:numFmt w:val="decimal"/>
      <w:lvlText w:val="%1."/>
      <w:lvlJc w:val="left"/>
      <w:pPr>
        <w:ind w:left="720" w:hanging="360"/>
      </w:pPr>
      <w:rPr>
        <w:rFonts w:hint="default"/>
      </w:rPr>
    </w:lvl>
    <w:lvl w:ilvl="1" w:tplc="5ACEEB9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2365C"/>
    <w:multiLevelType w:val="multilevel"/>
    <w:tmpl w:val="3E48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95298"/>
    <w:multiLevelType w:val="hybridMultilevel"/>
    <w:tmpl w:val="CC4E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C3D72"/>
    <w:multiLevelType w:val="hybridMultilevel"/>
    <w:tmpl w:val="6FC2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94354"/>
    <w:multiLevelType w:val="multilevel"/>
    <w:tmpl w:val="398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F644A"/>
    <w:multiLevelType w:val="hybridMultilevel"/>
    <w:tmpl w:val="940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D2AC7"/>
    <w:multiLevelType w:val="hybridMultilevel"/>
    <w:tmpl w:val="952E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B0EDE"/>
    <w:multiLevelType w:val="hybridMultilevel"/>
    <w:tmpl w:val="CC149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E2D7B"/>
    <w:multiLevelType w:val="hybridMultilevel"/>
    <w:tmpl w:val="DE503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A283B"/>
    <w:multiLevelType w:val="multilevel"/>
    <w:tmpl w:val="4D2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00D0D"/>
    <w:multiLevelType w:val="hybridMultilevel"/>
    <w:tmpl w:val="DCB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03831"/>
    <w:multiLevelType w:val="hybridMultilevel"/>
    <w:tmpl w:val="F35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00181"/>
    <w:multiLevelType w:val="hybridMultilevel"/>
    <w:tmpl w:val="E32479AA"/>
    <w:lvl w:ilvl="0" w:tplc="42FE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D5FF7"/>
    <w:multiLevelType w:val="multilevel"/>
    <w:tmpl w:val="B03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D291E"/>
    <w:multiLevelType w:val="hybridMultilevel"/>
    <w:tmpl w:val="2A52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227076">
    <w:abstractNumId w:val="8"/>
  </w:num>
  <w:num w:numId="2" w16cid:durableId="65079438">
    <w:abstractNumId w:val="10"/>
  </w:num>
  <w:num w:numId="3" w16cid:durableId="745612582">
    <w:abstractNumId w:val="11"/>
  </w:num>
  <w:num w:numId="4" w16cid:durableId="1735273877">
    <w:abstractNumId w:val="13"/>
  </w:num>
  <w:num w:numId="5" w16cid:durableId="598147793">
    <w:abstractNumId w:val="3"/>
  </w:num>
  <w:num w:numId="6" w16cid:durableId="312412901">
    <w:abstractNumId w:val="1"/>
  </w:num>
  <w:num w:numId="7" w16cid:durableId="553272343">
    <w:abstractNumId w:val="14"/>
  </w:num>
  <w:num w:numId="8" w16cid:durableId="2133673482">
    <w:abstractNumId w:val="5"/>
  </w:num>
  <w:num w:numId="9" w16cid:durableId="1388140394">
    <w:abstractNumId w:val="9"/>
  </w:num>
  <w:num w:numId="10" w16cid:durableId="1874271206">
    <w:abstractNumId w:val="15"/>
  </w:num>
  <w:num w:numId="11" w16cid:durableId="1490442773">
    <w:abstractNumId w:val="16"/>
  </w:num>
  <w:num w:numId="12" w16cid:durableId="374547774">
    <w:abstractNumId w:val="7"/>
  </w:num>
  <w:num w:numId="13" w16cid:durableId="2108228592">
    <w:abstractNumId w:val="0"/>
  </w:num>
  <w:num w:numId="14" w16cid:durableId="966622967">
    <w:abstractNumId w:val="12"/>
  </w:num>
  <w:num w:numId="15" w16cid:durableId="313216580">
    <w:abstractNumId w:val="4"/>
  </w:num>
  <w:num w:numId="16" w16cid:durableId="856502980">
    <w:abstractNumId w:val="6"/>
  </w:num>
  <w:num w:numId="17" w16cid:durableId="1656881765">
    <w:abstractNumId w:val="2"/>
  </w:num>
  <w:num w:numId="18" w16cid:durableId="7101482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62"/>
    <w:rsid w:val="000D0F86"/>
    <w:rsid w:val="001E0997"/>
    <w:rsid w:val="00266BF8"/>
    <w:rsid w:val="00376B9F"/>
    <w:rsid w:val="00380A0F"/>
    <w:rsid w:val="00432A9E"/>
    <w:rsid w:val="004363F8"/>
    <w:rsid w:val="004A5BE5"/>
    <w:rsid w:val="00500FD3"/>
    <w:rsid w:val="006E461C"/>
    <w:rsid w:val="00820440"/>
    <w:rsid w:val="00A12A62"/>
    <w:rsid w:val="00B9393E"/>
    <w:rsid w:val="00B93AF9"/>
    <w:rsid w:val="00C177F1"/>
    <w:rsid w:val="00D24B18"/>
    <w:rsid w:val="00D33020"/>
    <w:rsid w:val="00F7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4F78"/>
  <w15:chartTrackingRefBased/>
  <w15:docId w15:val="{E0C11E3F-74D2-4321-B69D-43F0B737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A62"/>
    <w:pPr>
      <w:ind w:left="720"/>
      <w:contextualSpacing/>
    </w:pPr>
  </w:style>
  <w:style w:type="paragraph" w:customStyle="1" w:styleId="xmsonormal">
    <w:name w:val="x_msonormal"/>
    <w:basedOn w:val="Normal"/>
    <w:rsid w:val="00D24B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4B18"/>
    <w:rPr>
      <w:color w:val="0000FF"/>
      <w:u w:val="single"/>
    </w:rPr>
  </w:style>
  <w:style w:type="paragraph" w:styleId="NormalWeb">
    <w:name w:val="Normal (Web)"/>
    <w:basedOn w:val="Normal"/>
    <w:uiPriority w:val="99"/>
    <w:semiHidden/>
    <w:unhideWhenUsed/>
    <w:rsid w:val="00D24B1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4B18"/>
    <w:rPr>
      <w:color w:val="605E5C"/>
      <w:shd w:val="clear" w:color="auto" w:fill="E1DFDD"/>
    </w:rPr>
  </w:style>
  <w:style w:type="paragraph" w:styleId="Header">
    <w:name w:val="header"/>
    <w:basedOn w:val="Normal"/>
    <w:link w:val="HeaderChar"/>
    <w:uiPriority w:val="99"/>
    <w:unhideWhenUsed/>
    <w:rsid w:val="000D0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86"/>
  </w:style>
  <w:style w:type="paragraph" w:styleId="Footer">
    <w:name w:val="footer"/>
    <w:basedOn w:val="Normal"/>
    <w:link w:val="FooterChar"/>
    <w:uiPriority w:val="99"/>
    <w:unhideWhenUsed/>
    <w:rsid w:val="000D0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3691">
      <w:bodyDiv w:val="1"/>
      <w:marLeft w:val="0"/>
      <w:marRight w:val="0"/>
      <w:marTop w:val="0"/>
      <w:marBottom w:val="0"/>
      <w:divBdr>
        <w:top w:val="none" w:sz="0" w:space="0" w:color="auto"/>
        <w:left w:val="none" w:sz="0" w:space="0" w:color="auto"/>
        <w:bottom w:val="none" w:sz="0" w:space="0" w:color="auto"/>
        <w:right w:val="none" w:sz="0" w:space="0" w:color="auto"/>
      </w:divBdr>
    </w:div>
    <w:div w:id="586890564">
      <w:bodyDiv w:val="1"/>
      <w:marLeft w:val="0"/>
      <w:marRight w:val="0"/>
      <w:marTop w:val="0"/>
      <w:marBottom w:val="0"/>
      <w:divBdr>
        <w:top w:val="none" w:sz="0" w:space="0" w:color="auto"/>
        <w:left w:val="none" w:sz="0" w:space="0" w:color="auto"/>
        <w:bottom w:val="none" w:sz="0" w:space="0" w:color="auto"/>
        <w:right w:val="none" w:sz="0" w:space="0" w:color="auto"/>
      </w:divBdr>
      <w:divsChild>
        <w:div w:id="1130593402">
          <w:marLeft w:val="0"/>
          <w:marRight w:val="0"/>
          <w:marTop w:val="0"/>
          <w:marBottom w:val="0"/>
          <w:divBdr>
            <w:top w:val="none" w:sz="0" w:space="0" w:color="auto"/>
            <w:left w:val="none" w:sz="0" w:space="0" w:color="auto"/>
            <w:bottom w:val="none" w:sz="0" w:space="0" w:color="auto"/>
            <w:right w:val="none" w:sz="0" w:space="0" w:color="auto"/>
          </w:divBdr>
        </w:div>
        <w:div w:id="1881240858">
          <w:marLeft w:val="0"/>
          <w:marRight w:val="0"/>
          <w:marTop w:val="0"/>
          <w:marBottom w:val="0"/>
          <w:divBdr>
            <w:top w:val="none" w:sz="0" w:space="0" w:color="auto"/>
            <w:left w:val="none" w:sz="0" w:space="0" w:color="auto"/>
            <w:bottom w:val="none" w:sz="0" w:space="0" w:color="auto"/>
            <w:right w:val="none" w:sz="0" w:space="0" w:color="auto"/>
          </w:divBdr>
        </w:div>
      </w:divsChild>
    </w:div>
    <w:div w:id="602230764">
      <w:bodyDiv w:val="1"/>
      <w:marLeft w:val="0"/>
      <w:marRight w:val="0"/>
      <w:marTop w:val="0"/>
      <w:marBottom w:val="0"/>
      <w:divBdr>
        <w:top w:val="none" w:sz="0" w:space="0" w:color="auto"/>
        <w:left w:val="none" w:sz="0" w:space="0" w:color="auto"/>
        <w:bottom w:val="none" w:sz="0" w:space="0" w:color="auto"/>
        <w:right w:val="none" w:sz="0" w:space="0" w:color="auto"/>
      </w:divBdr>
      <w:divsChild>
        <w:div w:id="1597901599">
          <w:marLeft w:val="0"/>
          <w:marRight w:val="0"/>
          <w:marTop w:val="0"/>
          <w:marBottom w:val="0"/>
          <w:divBdr>
            <w:top w:val="none" w:sz="0" w:space="0" w:color="auto"/>
            <w:left w:val="none" w:sz="0" w:space="0" w:color="auto"/>
            <w:bottom w:val="none" w:sz="0" w:space="0" w:color="auto"/>
            <w:right w:val="none" w:sz="0" w:space="0" w:color="auto"/>
          </w:divBdr>
        </w:div>
        <w:div w:id="1095711899">
          <w:marLeft w:val="0"/>
          <w:marRight w:val="0"/>
          <w:marTop w:val="0"/>
          <w:marBottom w:val="0"/>
          <w:divBdr>
            <w:top w:val="none" w:sz="0" w:space="0" w:color="auto"/>
            <w:left w:val="none" w:sz="0" w:space="0" w:color="auto"/>
            <w:bottom w:val="none" w:sz="0" w:space="0" w:color="auto"/>
            <w:right w:val="none" w:sz="0" w:space="0" w:color="auto"/>
          </w:divBdr>
        </w:div>
      </w:divsChild>
    </w:div>
    <w:div w:id="605236700">
      <w:bodyDiv w:val="1"/>
      <w:marLeft w:val="0"/>
      <w:marRight w:val="0"/>
      <w:marTop w:val="0"/>
      <w:marBottom w:val="0"/>
      <w:divBdr>
        <w:top w:val="none" w:sz="0" w:space="0" w:color="auto"/>
        <w:left w:val="none" w:sz="0" w:space="0" w:color="auto"/>
        <w:bottom w:val="none" w:sz="0" w:space="0" w:color="auto"/>
        <w:right w:val="none" w:sz="0" w:space="0" w:color="auto"/>
      </w:divBdr>
    </w:div>
    <w:div w:id="666714854">
      <w:bodyDiv w:val="1"/>
      <w:marLeft w:val="0"/>
      <w:marRight w:val="0"/>
      <w:marTop w:val="0"/>
      <w:marBottom w:val="0"/>
      <w:divBdr>
        <w:top w:val="none" w:sz="0" w:space="0" w:color="auto"/>
        <w:left w:val="none" w:sz="0" w:space="0" w:color="auto"/>
        <w:bottom w:val="none" w:sz="0" w:space="0" w:color="auto"/>
        <w:right w:val="none" w:sz="0" w:space="0" w:color="auto"/>
      </w:divBdr>
      <w:divsChild>
        <w:div w:id="468716828">
          <w:marLeft w:val="0"/>
          <w:marRight w:val="0"/>
          <w:marTop w:val="0"/>
          <w:marBottom w:val="0"/>
          <w:divBdr>
            <w:top w:val="none" w:sz="0" w:space="0" w:color="auto"/>
            <w:left w:val="none" w:sz="0" w:space="0" w:color="auto"/>
            <w:bottom w:val="none" w:sz="0" w:space="0" w:color="auto"/>
            <w:right w:val="none" w:sz="0" w:space="0" w:color="auto"/>
          </w:divBdr>
        </w:div>
        <w:div w:id="1676883436">
          <w:marLeft w:val="0"/>
          <w:marRight w:val="0"/>
          <w:marTop w:val="0"/>
          <w:marBottom w:val="0"/>
          <w:divBdr>
            <w:top w:val="none" w:sz="0" w:space="0" w:color="auto"/>
            <w:left w:val="none" w:sz="0" w:space="0" w:color="auto"/>
            <w:bottom w:val="none" w:sz="0" w:space="0" w:color="auto"/>
            <w:right w:val="none" w:sz="0" w:space="0" w:color="auto"/>
          </w:divBdr>
        </w:div>
      </w:divsChild>
    </w:div>
    <w:div w:id="770441665">
      <w:bodyDiv w:val="1"/>
      <w:marLeft w:val="0"/>
      <w:marRight w:val="0"/>
      <w:marTop w:val="0"/>
      <w:marBottom w:val="0"/>
      <w:divBdr>
        <w:top w:val="none" w:sz="0" w:space="0" w:color="auto"/>
        <w:left w:val="none" w:sz="0" w:space="0" w:color="auto"/>
        <w:bottom w:val="none" w:sz="0" w:space="0" w:color="auto"/>
        <w:right w:val="none" w:sz="0" w:space="0" w:color="auto"/>
      </w:divBdr>
      <w:divsChild>
        <w:div w:id="252129965">
          <w:marLeft w:val="0"/>
          <w:marRight w:val="0"/>
          <w:marTop w:val="0"/>
          <w:marBottom w:val="0"/>
          <w:divBdr>
            <w:top w:val="none" w:sz="0" w:space="0" w:color="auto"/>
            <w:left w:val="none" w:sz="0" w:space="0" w:color="auto"/>
            <w:bottom w:val="none" w:sz="0" w:space="0" w:color="auto"/>
            <w:right w:val="none" w:sz="0" w:space="0" w:color="auto"/>
          </w:divBdr>
        </w:div>
        <w:div w:id="731925630">
          <w:marLeft w:val="0"/>
          <w:marRight w:val="0"/>
          <w:marTop w:val="0"/>
          <w:marBottom w:val="0"/>
          <w:divBdr>
            <w:top w:val="none" w:sz="0" w:space="0" w:color="auto"/>
            <w:left w:val="none" w:sz="0" w:space="0" w:color="auto"/>
            <w:bottom w:val="none" w:sz="0" w:space="0" w:color="auto"/>
            <w:right w:val="none" w:sz="0" w:space="0" w:color="auto"/>
          </w:divBdr>
        </w:div>
        <w:div w:id="797644414">
          <w:marLeft w:val="0"/>
          <w:marRight w:val="0"/>
          <w:marTop w:val="0"/>
          <w:marBottom w:val="0"/>
          <w:divBdr>
            <w:top w:val="none" w:sz="0" w:space="0" w:color="auto"/>
            <w:left w:val="none" w:sz="0" w:space="0" w:color="auto"/>
            <w:bottom w:val="none" w:sz="0" w:space="0" w:color="auto"/>
            <w:right w:val="none" w:sz="0" w:space="0" w:color="auto"/>
          </w:divBdr>
        </w:div>
        <w:div w:id="1546943114">
          <w:marLeft w:val="0"/>
          <w:marRight w:val="0"/>
          <w:marTop w:val="0"/>
          <w:marBottom w:val="0"/>
          <w:divBdr>
            <w:top w:val="none" w:sz="0" w:space="0" w:color="auto"/>
            <w:left w:val="none" w:sz="0" w:space="0" w:color="auto"/>
            <w:bottom w:val="none" w:sz="0" w:space="0" w:color="auto"/>
            <w:right w:val="none" w:sz="0" w:space="0" w:color="auto"/>
          </w:divBdr>
        </w:div>
      </w:divsChild>
    </w:div>
    <w:div w:id="886338239">
      <w:bodyDiv w:val="1"/>
      <w:marLeft w:val="0"/>
      <w:marRight w:val="0"/>
      <w:marTop w:val="0"/>
      <w:marBottom w:val="0"/>
      <w:divBdr>
        <w:top w:val="none" w:sz="0" w:space="0" w:color="auto"/>
        <w:left w:val="none" w:sz="0" w:space="0" w:color="auto"/>
        <w:bottom w:val="none" w:sz="0" w:space="0" w:color="auto"/>
        <w:right w:val="none" w:sz="0" w:space="0" w:color="auto"/>
      </w:divBdr>
      <w:divsChild>
        <w:div w:id="2057730310">
          <w:marLeft w:val="0"/>
          <w:marRight w:val="0"/>
          <w:marTop w:val="0"/>
          <w:marBottom w:val="0"/>
          <w:divBdr>
            <w:top w:val="none" w:sz="0" w:space="0" w:color="auto"/>
            <w:left w:val="none" w:sz="0" w:space="0" w:color="auto"/>
            <w:bottom w:val="none" w:sz="0" w:space="0" w:color="auto"/>
            <w:right w:val="none" w:sz="0" w:space="0" w:color="auto"/>
          </w:divBdr>
        </w:div>
        <w:div w:id="1953978618">
          <w:marLeft w:val="0"/>
          <w:marRight w:val="0"/>
          <w:marTop w:val="0"/>
          <w:marBottom w:val="0"/>
          <w:divBdr>
            <w:top w:val="none" w:sz="0" w:space="0" w:color="auto"/>
            <w:left w:val="none" w:sz="0" w:space="0" w:color="auto"/>
            <w:bottom w:val="none" w:sz="0" w:space="0" w:color="auto"/>
            <w:right w:val="none" w:sz="0" w:space="0" w:color="auto"/>
          </w:divBdr>
        </w:div>
        <w:div w:id="276528804">
          <w:marLeft w:val="0"/>
          <w:marRight w:val="0"/>
          <w:marTop w:val="0"/>
          <w:marBottom w:val="0"/>
          <w:divBdr>
            <w:top w:val="none" w:sz="0" w:space="0" w:color="auto"/>
            <w:left w:val="none" w:sz="0" w:space="0" w:color="auto"/>
            <w:bottom w:val="none" w:sz="0" w:space="0" w:color="auto"/>
            <w:right w:val="none" w:sz="0" w:space="0" w:color="auto"/>
          </w:divBdr>
        </w:div>
        <w:div w:id="2000649540">
          <w:marLeft w:val="0"/>
          <w:marRight w:val="0"/>
          <w:marTop w:val="0"/>
          <w:marBottom w:val="0"/>
          <w:divBdr>
            <w:top w:val="none" w:sz="0" w:space="0" w:color="auto"/>
            <w:left w:val="none" w:sz="0" w:space="0" w:color="auto"/>
            <w:bottom w:val="none" w:sz="0" w:space="0" w:color="auto"/>
            <w:right w:val="none" w:sz="0" w:space="0" w:color="auto"/>
          </w:divBdr>
        </w:div>
      </w:divsChild>
    </w:div>
    <w:div w:id="1065034909">
      <w:bodyDiv w:val="1"/>
      <w:marLeft w:val="0"/>
      <w:marRight w:val="0"/>
      <w:marTop w:val="0"/>
      <w:marBottom w:val="0"/>
      <w:divBdr>
        <w:top w:val="none" w:sz="0" w:space="0" w:color="auto"/>
        <w:left w:val="none" w:sz="0" w:space="0" w:color="auto"/>
        <w:bottom w:val="none" w:sz="0" w:space="0" w:color="auto"/>
        <w:right w:val="none" w:sz="0" w:space="0" w:color="auto"/>
      </w:divBdr>
    </w:div>
    <w:div w:id="1132098693">
      <w:bodyDiv w:val="1"/>
      <w:marLeft w:val="0"/>
      <w:marRight w:val="0"/>
      <w:marTop w:val="0"/>
      <w:marBottom w:val="0"/>
      <w:divBdr>
        <w:top w:val="none" w:sz="0" w:space="0" w:color="auto"/>
        <w:left w:val="none" w:sz="0" w:space="0" w:color="auto"/>
        <w:bottom w:val="none" w:sz="0" w:space="0" w:color="auto"/>
        <w:right w:val="none" w:sz="0" w:space="0" w:color="auto"/>
      </w:divBdr>
      <w:divsChild>
        <w:div w:id="1448084386">
          <w:marLeft w:val="0"/>
          <w:marRight w:val="0"/>
          <w:marTop w:val="0"/>
          <w:marBottom w:val="0"/>
          <w:divBdr>
            <w:top w:val="none" w:sz="0" w:space="0" w:color="auto"/>
            <w:left w:val="none" w:sz="0" w:space="0" w:color="auto"/>
            <w:bottom w:val="none" w:sz="0" w:space="0" w:color="auto"/>
            <w:right w:val="none" w:sz="0" w:space="0" w:color="auto"/>
          </w:divBdr>
        </w:div>
        <w:div w:id="1866671215">
          <w:marLeft w:val="0"/>
          <w:marRight w:val="0"/>
          <w:marTop w:val="0"/>
          <w:marBottom w:val="0"/>
          <w:divBdr>
            <w:top w:val="none" w:sz="0" w:space="0" w:color="auto"/>
            <w:left w:val="none" w:sz="0" w:space="0" w:color="auto"/>
            <w:bottom w:val="none" w:sz="0" w:space="0" w:color="auto"/>
            <w:right w:val="none" w:sz="0" w:space="0" w:color="auto"/>
          </w:divBdr>
        </w:div>
      </w:divsChild>
    </w:div>
    <w:div w:id="1133599267">
      <w:bodyDiv w:val="1"/>
      <w:marLeft w:val="0"/>
      <w:marRight w:val="0"/>
      <w:marTop w:val="0"/>
      <w:marBottom w:val="0"/>
      <w:divBdr>
        <w:top w:val="none" w:sz="0" w:space="0" w:color="auto"/>
        <w:left w:val="none" w:sz="0" w:space="0" w:color="auto"/>
        <w:bottom w:val="none" w:sz="0" w:space="0" w:color="auto"/>
        <w:right w:val="none" w:sz="0" w:space="0" w:color="auto"/>
      </w:divBdr>
      <w:divsChild>
        <w:div w:id="190844437">
          <w:marLeft w:val="0"/>
          <w:marRight w:val="0"/>
          <w:marTop w:val="0"/>
          <w:marBottom w:val="0"/>
          <w:divBdr>
            <w:top w:val="none" w:sz="0" w:space="0" w:color="auto"/>
            <w:left w:val="none" w:sz="0" w:space="0" w:color="auto"/>
            <w:bottom w:val="none" w:sz="0" w:space="0" w:color="auto"/>
            <w:right w:val="none" w:sz="0" w:space="0" w:color="auto"/>
          </w:divBdr>
        </w:div>
        <w:div w:id="1235310759">
          <w:marLeft w:val="0"/>
          <w:marRight w:val="0"/>
          <w:marTop w:val="0"/>
          <w:marBottom w:val="0"/>
          <w:divBdr>
            <w:top w:val="none" w:sz="0" w:space="0" w:color="auto"/>
            <w:left w:val="none" w:sz="0" w:space="0" w:color="auto"/>
            <w:bottom w:val="none" w:sz="0" w:space="0" w:color="auto"/>
            <w:right w:val="none" w:sz="0" w:space="0" w:color="auto"/>
          </w:divBdr>
        </w:div>
        <w:div w:id="240600674">
          <w:marLeft w:val="0"/>
          <w:marRight w:val="0"/>
          <w:marTop w:val="0"/>
          <w:marBottom w:val="0"/>
          <w:divBdr>
            <w:top w:val="none" w:sz="0" w:space="0" w:color="auto"/>
            <w:left w:val="none" w:sz="0" w:space="0" w:color="auto"/>
            <w:bottom w:val="none" w:sz="0" w:space="0" w:color="auto"/>
            <w:right w:val="none" w:sz="0" w:space="0" w:color="auto"/>
          </w:divBdr>
        </w:div>
      </w:divsChild>
    </w:div>
    <w:div w:id="1133906259">
      <w:bodyDiv w:val="1"/>
      <w:marLeft w:val="0"/>
      <w:marRight w:val="0"/>
      <w:marTop w:val="0"/>
      <w:marBottom w:val="0"/>
      <w:divBdr>
        <w:top w:val="none" w:sz="0" w:space="0" w:color="auto"/>
        <w:left w:val="none" w:sz="0" w:space="0" w:color="auto"/>
        <w:bottom w:val="none" w:sz="0" w:space="0" w:color="auto"/>
        <w:right w:val="none" w:sz="0" w:space="0" w:color="auto"/>
      </w:divBdr>
      <w:divsChild>
        <w:div w:id="1972244829">
          <w:marLeft w:val="0"/>
          <w:marRight w:val="0"/>
          <w:marTop w:val="0"/>
          <w:marBottom w:val="0"/>
          <w:divBdr>
            <w:top w:val="none" w:sz="0" w:space="0" w:color="auto"/>
            <w:left w:val="none" w:sz="0" w:space="0" w:color="auto"/>
            <w:bottom w:val="none" w:sz="0" w:space="0" w:color="auto"/>
            <w:right w:val="none" w:sz="0" w:space="0" w:color="auto"/>
          </w:divBdr>
        </w:div>
        <w:div w:id="521552145">
          <w:marLeft w:val="0"/>
          <w:marRight w:val="0"/>
          <w:marTop w:val="0"/>
          <w:marBottom w:val="0"/>
          <w:divBdr>
            <w:top w:val="none" w:sz="0" w:space="0" w:color="auto"/>
            <w:left w:val="none" w:sz="0" w:space="0" w:color="auto"/>
            <w:bottom w:val="none" w:sz="0" w:space="0" w:color="auto"/>
            <w:right w:val="none" w:sz="0" w:space="0" w:color="auto"/>
          </w:divBdr>
        </w:div>
      </w:divsChild>
    </w:div>
    <w:div w:id="1278832367">
      <w:bodyDiv w:val="1"/>
      <w:marLeft w:val="0"/>
      <w:marRight w:val="0"/>
      <w:marTop w:val="0"/>
      <w:marBottom w:val="0"/>
      <w:divBdr>
        <w:top w:val="none" w:sz="0" w:space="0" w:color="auto"/>
        <w:left w:val="none" w:sz="0" w:space="0" w:color="auto"/>
        <w:bottom w:val="none" w:sz="0" w:space="0" w:color="auto"/>
        <w:right w:val="none" w:sz="0" w:space="0" w:color="auto"/>
      </w:divBdr>
      <w:divsChild>
        <w:div w:id="941572346">
          <w:marLeft w:val="0"/>
          <w:marRight w:val="0"/>
          <w:marTop w:val="0"/>
          <w:marBottom w:val="0"/>
          <w:divBdr>
            <w:top w:val="none" w:sz="0" w:space="0" w:color="auto"/>
            <w:left w:val="none" w:sz="0" w:space="0" w:color="auto"/>
            <w:bottom w:val="none" w:sz="0" w:space="0" w:color="auto"/>
            <w:right w:val="none" w:sz="0" w:space="0" w:color="auto"/>
          </w:divBdr>
        </w:div>
        <w:div w:id="1127090215">
          <w:marLeft w:val="0"/>
          <w:marRight w:val="0"/>
          <w:marTop w:val="0"/>
          <w:marBottom w:val="0"/>
          <w:divBdr>
            <w:top w:val="none" w:sz="0" w:space="0" w:color="auto"/>
            <w:left w:val="none" w:sz="0" w:space="0" w:color="auto"/>
            <w:bottom w:val="none" w:sz="0" w:space="0" w:color="auto"/>
            <w:right w:val="none" w:sz="0" w:space="0" w:color="auto"/>
          </w:divBdr>
        </w:div>
      </w:divsChild>
    </w:div>
    <w:div w:id="1414740170">
      <w:bodyDiv w:val="1"/>
      <w:marLeft w:val="0"/>
      <w:marRight w:val="0"/>
      <w:marTop w:val="0"/>
      <w:marBottom w:val="0"/>
      <w:divBdr>
        <w:top w:val="none" w:sz="0" w:space="0" w:color="auto"/>
        <w:left w:val="none" w:sz="0" w:space="0" w:color="auto"/>
        <w:bottom w:val="none" w:sz="0" w:space="0" w:color="auto"/>
        <w:right w:val="none" w:sz="0" w:space="0" w:color="auto"/>
      </w:divBdr>
    </w:div>
    <w:div w:id="1476603656">
      <w:bodyDiv w:val="1"/>
      <w:marLeft w:val="0"/>
      <w:marRight w:val="0"/>
      <w:marTop w:val="0"/>
      <w:marBottom w:val="0"/>
      <w:divBdr>
        <w:top w:val="none" w:sz="0" w:space="0" w:color="auto"/>
        <w:left w:val="none" w:sz="0" w:space="0" w:color="auto"/>
        <w:bottom w:val="none" w:sz="0" w:space="0" w:color="auto"/>
        <w:right w:val="none" w:sz="0" w:space="0" w:color="auto"/>
      </w:divBdr>
    </w:div>
    <w:div w:id="1752775587">
      <w:bodyDiv w:val="1"/>
      <w:marLeft w:val="0"/>
      <w:marRight w:val="0"/>
      <w:marTop w:val="0"/>
      <w:marBottom w:val="0"/>
      <w:divBdr>
        <w:top w:val="none" w:sz="0" w:space="0" w:color="auto"/>
        <w:left w:val="none" w:sz="0" w:space="0" w:color="auto"/>
        <w:bottom w:val="none" w:sz="0" w:space="0" w:color="auto"/>
        <w:right w:val="none" w:sz="0" w:space="0" w:color="auto"/>
      </w:divBdr>
      <w:divsChild>
        <w:div w:id="5137692">
          <w:marLeft w:val="0"/>
          <w:marRight w:val="0"/>
          <w:marTop w:val="0"/>
          <w:marBottom w:val="0"/>
          <w:divBdr>
            <w:top w:val="none" w:sz="0" w:space="0" w:color="auto"/>
            <w:left w:val="none" w:sz="0" w:space="0" w:color="auto"/>
            <w:bottom w:val="none" w:sz="0" w:space="0" w:color="auto"/>
            <w:right w:val="none" w:sz="0" w:space="0" w:color="auto"/>
          </w:divBdr>
        </w:div>
        <w:div w:id="203255451">
          <w:marLeft w:val="0"/>
          <w:marRight w:val="0"/>
          <w:marTop w:val="0"/>
          <w:marBottom w:val="0"/>
          <w:divBdr>
            <w:top w:val="none" w:sz="0" w:space="0" w:color="auto"/>
            <w:left w:val="none" w:sz="0" w:space="0" w:color="auto"/>
            <w:bottom w:val="none" w:sz="0" w:space="0" w:color="auto"/>
            <w:right w:val="none" w:sz="0" w:space="0" w:color="auto"/>
          </w:divBdr>
        </w:div>
      </w:divsChild>
    </w:div>
    <w:div w:id="1792475318">
      <w:bodyDiv w:val="1"/>
      <w:marLeft w:val="0"/>
      <w:marRight w:val="0"/>
      <w:marTop w:val="0"/>
      <w:marBottom w:val="0"/>
      <w:divBdr>
        <w:top w:val="none" w:sz="0" w:space="0" w:color="auto"/>
        <w:left w:val="none" w:sz="0" w:space="0" w:color="auto"/>
        <w:bottom w:val="none" w:sz="0" w:space="0" w:color="auto"/>
        <w:right w:val="none" w:sz="0" w:space="0" w:color="auto"/>
      </w:divBdr>
    </w:div>
    <w:div w:id="189727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y.ca.gov/committees" TargetMode="External"/><Relationship Id="rId13" Type="http://schemas.openxmlformats.org/officeDocument/2006/relationships/hyperlink" Target="https://ct35.capitoltrack.com/23/Reports/Run/53528" TargetMode="External"/><Relationship Id="rId18" Type="http://schemas.openxmlformats.org/officeDocument/2006/relationships/hyperlink" Target="https://ct35.capitoltrack.com/23/Reports/Run" TargetMode="External"/><Relationship Id="rId26" Type="http://schemas.openxmlformats.org/officeDocument/2006/relationships/hyperlink" Target="https://ct35.capitoltrack.com/23/Member/Index/258" TargetMode="External"/><Relationship Id="rId3" Type="http://schemas.openxmlformats.org/officeDocument/2006/relationships/settings" Target="settings.xml"/><Relationship Id="rId21" Type="http://schemas.openxmlformats.org/officeDocument/2006/relationships/hyperlink" Target="https://ct35.capitoltrack.com/23/Member/Index/453" TargetMode="External"/><Relationship Id="rId7" Type="http://schemas.openxmlformats.org/officeDocument/2006/relationships/hyperlink" Target="https://findyourrep.legislature.ca.gov/" TargetMode="External"/><Relationship Id="rId12" Type="http://schemas.openxmlformats.org/officeDocument/2006/relationships/hyperlink" Target="https://ct35.capitoltrack.com/23/Reports/Keyword?q=disability" TargetMode="External"/><Relationship Id="rId17" Type="http://schemas.openxmlformats.org/officeDocument/2006/relationships/hyperlink" Target="https://ct35.capitoltrack.com/23/Member/Index/439" TargetMode="External"/><Relationship Id="rId25" Type="http://schemas.openxmlformats.org/officeDocument/2006/relationships/hyperlink" Target="https://ct35.capitoltrack.com/23/Reports/Run" TargetMode="External"/><Relationship Id="rId2" Type="http://schemas.openxmlformats.org/officeDocument/2006/relationships/styles" Target="styles.xml"/><Relationship Id="rId16" Type="http://schemas.openxmlformats.org/officeDocument/2006/relationships/hyperlink" Target="https://ct35.capitoltrack.com/23/Reports/Run" TargetMode="External"/><Relationship Id="rId20" Type="http://schemas.openxmlformats.org/officeDocument/2006/relationships/hyperlink" Target="https://ct35.capitoltrack.com/23/Reports/Ru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35.capitoltrack.com/23/Member/Index/451" TargetMode="External"/><Relationship Id="rId24" Type="http://schemas.openxmlformats.org/officeDocument/2006/relationships/hyperlink" Target="https://ct35.capitoltrack.com/23/Member/Index/306" TargetMode="External"/><Relationship Id="rId5" Type="http://schemas.openxmlformats.org/officeDocument/2006/relationships/footnotes" Target="footnotes.xml"/><Relationship Id="rId15" Type="http://schemas.openxmlformats.org/officeDocument/2006/relationships/hyperlink" Target="https://ct35.capitoltrack.com/23/Reports/Run/53528" TargetMode="External"/><Relationship Id="rId23" Type="http://schemas.openxmlformats.org/officeDocument/2006/relationships/hyperlink" Target="https://ct35.capitoltrack.com/23/Reports/Run" TargetMode="External"/><Relationship Id="rId28" Type="http://schemas.openxmlformats.org/officeDocument/2006/relationships/header" Target="header1.xml"/><Relationship Id="rId10" Type="http://schemas.openxmlformats.org/officeDocument/2006/relationships/hyperlink" Target="https://ct35.capitoltrack.com/23/Reports/Keyword?q=disability" TargetMode="External"/><Relationship Id="rId19" Type="http://schemas.openxmlformats.org/officeDocument/2006/relationships/hyperlink" Target="https://ct35.capitoltrack.com/23/Member/Index/442" TargetMode="External"/><Relationship Id="rId4" Type="http://schemas.openxmlformats.org/officeDocument/2006/relationships/webSettings" Target="webSettings.xml"/><Relationship Id="rId9" Type="http://schemas.openxmlformats.org/officeDocument/2006/relationships/hyperlink" Target="https://www.senate.ca.gov/committees" TargetMode="External"/><Relationship Id="rId14" Type="http://schemas.openxmlformats.org/officeDocument/2006/relationships/hyperlink" Target="https://ct35.capitoltrack.com/23/Member/Index/430" TargetMode="External"/><Relationship Id="rId22" Type="http://schemas.openxmlformats.org/officeDocument/2006/relationships/hyperlink" Target="https://ct35.capitoltrack.com/23/Reports/Run" TargetMode="External"/><Relationship Id="rId27" Type="http://schemas.openxmlformats.org/officeDocument/2006/relationships/hyperlink" Target="https://ebudget.ca.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England</dc:creator>
  <cp:keywords/>
  <dc:description/>
  <cp:lastModifiedBy>Carrie England</cp:lastModifiedBy>
  <cp:revision>2</cp:revision>
  <dcterms:created xsi:type="dcterms:W3CDTF">2023-02-08T19:49:00Z</dcterms:created>
  <dcterms:modified xsi:type="dcterms:W3CDTF">2023-02-08T19:49:00Z</dcterms:modified>
</cp:coreProperties>
</file>